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41B5CCF" w14:textId="77777777" w:rsidR="00AB5574" w:rsidRPr="00F11E57" w:rsidRDefault="006F79B6" w:rsidP="005557B1">
      <w:pPr>
        <w:pStyle w:val="BodyText"/>
        <w:spacing w:before="1" w:line="274" w:lineRule="auto"/>
        <w:ind w:left="740" w:firstLine="0"/>
        <w:rPr>
          <w:rFonts w:ascii="Times New Roman"/>
          <w:sz w:val="20"/>
          <w:lang w:val="en-GB"/>
        </w:rPr>
      </w:pPr>
      <w:r w:rsidRPr="00F11E57">
        <w:rPr>
          <w:noProof/>
          <w:lang w:val="en-GB" w:eastAsia="en-GB"/>
        </w:rPr>
        <mc:AlternateContent>
          <mc:Choice Requires="wpg">
            <w:drawing>
              <wp:anchor distT="0" distB="0" distL="114300" distR="114300" simplePos="0" relativeHeight="251657216" behindDoc="1" locked="0" layoutInCell="1" allowOverlap="1" wp14:anchorId="3D25FF2C" wp14:editId="75BB0E74">
                <wp:simplePos x="0" y="0"/>
                <wp:positionH relativeFrom="page">
                  <wp:posOffset>0</wp:posOffset>
                </wp:positionH>
                <wp:positionV relativeFrom="page">
                  <wp:posOffset>2273300</wp:posOffset>
                </wp:positionV>
                <wp:extent cx="7560945" cy="8418830"/>
                <wp:effectExtent l="0" t="0" r="0" b="127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8418830"/>
                          <a:chOff x="0" y="3581"/>
                          <a:chExt cx="11907" cy="13258"/>
                        </a:xfrm>
                      </wpg:grpSpPr>
                      <wps:wsp>
                        <wps:cNvPr id="6" name="AutoShape 5"/>
                        <wps:cNvSpPr>
                          <a:spLocks/>
                        </wps:cNvSpPr>
                        <wps:spPr bwMode="auto">
                          <a:xfrm>
                            <a:off x="732" y="3583"/>
                            <a:ext cx="11175" cy="13222"/>
                          </a:xfrm>
                          <a:custGeom>
                            <a:avLst/>
                            <a:gdLst>
                              <a:gd name="T0" fmla="+- 0 11892 732"/>
                              <a:gd name="T1" fmla="*/ T0 w 11175"/>
                              <a:gd name="T2" fmla="+- 0 3583 3583"/>
                              <a:gd name="T3" fmla="*/ 3583 h 13222"/>
                              <a:gd name="T4" fmla="+- 0 732 732"/>
                              <a:gd name="T5" fmla="*/ T4 w 11175"/>
                              <a:gd name="T6" fmla="+- 0 3583 3583"/>
                              <a:gd name="T7" fmla="*/ 3583 h 13222"/>
                              <a:gd name="T8" fmla="+- 0 732 732"/>
                              <a:gd name="T9" fmla="*/ T8 w 11175"/>
                              <a:gd name="T10" fmla="+- 0 6871 3583"/>
                              <a:gd name="T11" fmla="*/ 6871 h 13222"/>
                              <a:gd name="T12" fmla="+- 0 11892 732"/>
                              <a:gd name="T13" fmla="*/ T12 w 11175"/>
                              <a:gd name="T14" fmla="+- 0 6871 3583"/>
                              <a:gd name="T15" fmla="*/ 6871 h 13222"/>
                              <a:gd name="T16" fmla="+- 0 11892 732"/>
                              <a:gd name="T17" fmla="*/ T16 w 11175"/>
                              <a:gd name="T18" fmla="+- 0 3583 3583"/>
                              <a:gd name="T19" fmla="*/ 3583 h 13222"/>
                              <a:gd name="T20" fmla="+- 0 11906 732"/>
                              <a:gd name="T21" fmla="*/ T20 w 11175"/>
                              <a:gd name="T22" fmla="+- 0 15890 3583"/>
                              <a:gd name="T23" fmla="*/ 15890 h 13222"/>
                              <a:gd name="T24" fmla="+- 0 737 732"/>
                              <a:gd name="T25" fmla="*/ T24 w 11175"/>
                              <a:gd name="T26" fmla="+- 0 15890 3583"/>
                              <a:gd name="T27" fmla="*/ 15890 h 13222"/>
                              <a:gd name="T28" fmla="+- 0 737 732"/>
                              <a:gd name="T29" fmla="*/ T28 w 11175"/>
                              <a:gd name="T30" fmla="+- 0 16805 3583"/>
                              <a:gd name="T31" fmla="*/ 16805 h 13222"/>
                              <a:gd name="T32" fmla="+- 0 11906 732"/>
                              <a:gd name="T33" fmla="*/ T32 w 11175"/>
                              <a:gd name="T34" fmla="+- 0 16805 3583"/>
                              <a:gd name="T35" fmla="*/ 16805 h 13222"/>
                              <a:gd name="T36" fmla="+- 0 11906 732"/>
                              <a:gd name="T37" fmla="*/ T36 w 11175"/>
                              <a:gd name="T38" fmla="+- 0 15890 3583"/>
                              <a:gd name="T39" fmla="*/ 15890 h 13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75" h="13222">
                                <a:moveTo>
                                  <a:pt x="11160" y="0"/>
                                </a:moveTo>
                                <a:lnTo>
                                  <a:pt x="0" y="0"/>
                                </a:lnTo>
                                <a:lnTo>
                                  <a:pt x="0" y="3288"/>
                                </a:lnTo>
                                <a:lnTo>
                                  <a:pt x="11160" y="3288"/>
                                </a:lnTo>
                                <a:lnTo>
                                  <a:pt x="11160" y="0"/>
                                </a:lnTo>
                                <a:moveTo>
                                  <a:pt x="11174" y="12307"/>
                                </a:moveTo>
                                <a:lnTo>
                                  <a:pt x="5" y="12307"/>
                                </a:lnTo>
                                <a:lnTo>
                                  <a:pt x="5" y="13222"/>
                                </a:lnTo>
                                <a:lnTo>
                                  <a:pt x="11174" y="13222"/>
                                </a:lnTo>
                                <a:lnTo>
                                  <a:pt x="11174" y="12307"/>
                                </a:lnTo>
                              </a:path>
                            </a:pathLst>
                          </a:cu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4"/>
                        <wps:cNvSpPr>
                          <a:spLocks noChangeArrowheads="1"/>
                        </wps:cNvSpPr>
                        <wps:spPr bwMode="auto">
                          <a:xfrm>
                            <a:off x="0" y="3580"/>
                            <a:ext cx="737" cy="13258"/>
                          </a:xfrm>
                          <a:prstGeom prst="rect">
                            <a:avLst/>
                          </a:prstGeom>
                          <a:solidFill>
                            <a:srgbClr val="B8920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8C477C" id="Group 3" o:spid="_x0000_s1026" style="position:absolute;margin-left:0;margin-top:179pt;width:595.35pt;height:662.9pt;z-index:-251659264;mso-position-horizontal-relative:page;mso-position-vertical-relative:page" coordorigin=",3581" coordsize="11907,1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">
                <v:shape id="AutoShape 5" o:spid="_x0000_s1027" style="position:absolute;left:732;top:3583;width:11175;height:13222;visibility:visible;mso-wrap-style:square;v-text-anchor:top" coordsize="11175,1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" path="m11160,l,,,3288r11160,l11160,t14,12307l5,12307r,915l11174,13222r,-915e" fillcolor="#d9d9d9" stroked="f">
                  <v:path arrowok="t" o:connecttype="custom" o:connectlocs="11160,3583;0,3583;0,6871;11160,6871;11160,3583;11174,15890;5,15890;5,16805;11174,16805;11174,15890" o:connectangles="0,0,0,0,0,0,0,0,0,0"/>
                </v:shape>
                <v:rect id="Rectangle 4" o:spid="_x0000_s1028" style="position:absolute;top:3580;width:737;height:1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" fillcolor="#b89207" stroked="f"/>
                <w10:wrap anchorx="page" anchory="page"/>
              </v:group>
            </w:pict>
          </mc:Fallback>
        </mc:AlternateContent>
      </w:r>
      <w:r w:rsidRPr="00F11E57">
        <w:rPr>
          <w:rFonts w:ascii="Times New Roman"/>
          <w:noProof/>
          <w:sz w:val="20"/>
          <w:lang w:val="en-GB" w:eastAsia="en-GB"/>
        </w:rPr>
        <w:drawing>
          <wp:inline distT="0" distB="0" distL="0" distR="0" wp14:anchorId="24267652" wp14:editId="7295FD21">
            <wp:extent cx="4570820" cy="13144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570820" cy="1314450"/>
                    </a:xfrm>
                    <a:prstGeom prst="rect">
                      <a:avLst/>
                    </a:prstGeom>
                  </pic:spPr>
                </pic:pic>
              </a:graphicData>
            </a:graphic>
          </wp:inline>
        </w:drawing>
      </w:r>
    </w:p>
    <w:p w14:paraId="08C4547C" w14:textId="77777777" w:rsidR="00AB5574" w:rsidRPr="00F11E57" w:rsidRDefault="00AB5574" w:rsidP="005557B1">
      <w:pPr>
        <w:pStyle w:val="BodyText"/>
        <w:spacing w:before="1" w:line="274" w:lineRule="auto"/>
        <w:ind w:firstLine="0"/>
        <w:rPr>
          <w:rFonts w:ascii="Times New Roman"/>
          <w:sz w:val="20"/>
          <w:lang w:val="en-GB"/>
        </w:rPr>
      </w:pPr>
    </w:p>
    <w:p w14:paraId="6EE9C002" w14:textId="77777777" w:rsidR="00AB5574" w:rsidRPr="00F11E57" w:rsidRDefault="00AB5574" w:rsidP="005557B1">
      <w:pPr>
        <w:pStyle w:val="BodyText"/>
        <w:spacing w:before="1" w:line="274" w:lineRule="auto"/>
        <w:ind w:firstLine="0"/>
        <w:rPr>
          <w:rFonts w:ascii="Times New Roman"/>
          <w:sz w:val="20"/>
          <w:lang w:val="en-GB"/>
        </w:rPr>
      </w:pPr>
    </w:p>
    <w:p w14:paraId="1877F7F4" w14:textId="77777777" w:rsidR="00AB5574" w:rsidRPr="00F11E57" w:rsidRDefault="00AB5574" w:rsidP="005557B1">
      <w:pPr>
        <w:pStyle w:val="BodyText"/>
        <w:spacing w:before="1" w:line="274" w:lineRule="auto"/>
        <w:ind w:firstLine="0"/>
        <w:rPr>
          <w:rFonts w:ascii="Times New Roman"/>
          <w:sz w:val="20"/>
          <w:lang w:val="en-GB"/>
        </w:rPr>
      </w:pPr>
    </w:p>
    <w:p w14:paraId="4D6FFC6B" w14:textId="77777777" w:rsidR="00AB5574" w:rsidRPr="00F11E57" w:rsidRDefault="006F79B6" w:rsidP="005557B1">
      <w:pPr>
        <w:spacing w:before="1" w:line="274" w:lineRule="auto"/>
        <w:ind w:left="709"/>
        <w:rPr>
          <w:rFonts w:ascii="Lucida Sans Unicode"/>
          <w:sz w:val="56"/>
          <w:lang w:val="en-GB"/>
        </w:rPr>
      </w:pPr>
      <w:bookmarkStart w:id="1" w:name="UAE_AEOI_GUIDELINES_NOTES"/>
      <w:bookmarkEnd w:id="1"/>
      <w:r w:rsidRPr="00F11E57">
        <w:rPr>
          <w:rFonts w:ascii="Lucida Sans Unicode"/>
          <w:sz w:val="56"/>
          <w:lang w:val="en-GB"/>
        </w:rPr>
        <w:t>Guidance Notes for the Common Reporting Standard (CRS)</w:t>
      </w:r>
    </w:p>
    <w:p w14:paraId="5C33783A" w14:textId="77777777" w:rsidR="00AB5574" w:rsidRPr="00F11E57" w:rsidRDefault="006F79B6" w:rsidP="005557B1">
      <w:pPr>
        <w:spacing w:before="1" w:line="274" w:lineRule="auto"/>
        <w:ind w:left="709"/>
        <w:rPr>
          <w:rFonts w:ascii="Lucida Sans Unicode"/>
          <w:sz w:val="56"/>
          <w:lang w:val="en-GB"/>
        </w:rPr>
      </w:pPr>
      <w:r w:rsidRPr="00F11E57">
        <w:rPr>
          <w:rFonts w:ascii="Lucida Sans Unicode"/>
          <w:sz w:val="56"/>
          <w:lang w:val="en-GB"/>
        </w:rPr>
        <w:t>United Arab Emirates</w:t>
      </w:r>
    </w:p>
    <w:p w14:paraId="3D981D5D" w14:textId="77777777" w:rsidR="00AB5574" w:rsidRPr="00F11E57" w:rsidRDefault="00AB5574" w:rsidP="005557B1">
      <w:pPr>
        <w:pStyle w:val="BodyText"/>
        <w:spacing w:before="1" w:line="274" w:lineRule="auto"/>
        <w:ind w:firstLine="0"/>
        <w:rPr>
          <w:rFonts w:ascii="Lucida Sans Unicode"/>
          <w:sz w:val="20"/>
          <w:lang w:val="en-GB"/>
        </w:rPr>
      </w:pPr>
    </w:p>
    <w:p w14:paraId="0FAB5FE4" w14:textId="77777777" w:rsidR="00AB5574" w:rsidRPr="00F11E57" w:rsidRDefault="00AB5574" w:rsidP="005557B1">
      <w:pPr>
        <w:pStyle w:val="BodyText"/>
        <w:spacing w:before="1" w:line="274" w:lineRule="auto"/>
        <w:ind w:firstLine="0"/>
        <w:rPr>
          <w:rFonts w:ascii="Lucida Sans Unicode"/>
          <w:sz w:val="20"/>
          <w:lang w:val="en-GB"/>
        </w:rPr>
      </w:pPr>
    </w:p>
    <w:p w14:paraId="3C8A5EE8" w14:textId="77777777" w:rsidR="00AB5574" w:rsidRPr="00F11E57" w:rsidRDefault="00AB5574" w:rsidP="005557B1">
      <w:pPr>
        <w:pStyle w:val="BodyText"/>
        <w:spacing w:before="1" w:line="274" w:lineRule="auto"/>
        <w:ind w:firstLine="0"/>
        <w:rPr>
          <w:rFonts w:ascii="Lucida Sans Unicode"/>
          <w:sz w:val="20"/>
          <w:lang w:val="de-DE"/>
        </w:rPr>
      </w:pPr>
    </w:p>
    <w:p w14:paraId="2367C326" w14:textId="77777777" w:rsidR="00AB5574" w:rsidRPr="00F11E57" w:rsidRDefault="00AB5574" w:rsidP="005557B1">
      <w:pPr>
        <w:pStyle w:val="BodyText"/>
        <w:spacing w:before="1" w:line="274" w:lineRule="auto"/>
        <w:ind w:firstLine="0"/>
        <w:rPr>
          <w:rFonts w:ascii="Lucida Sans Unicode"/>
          <w:sz w:val="20"/>
          <w:lang w:val="en-GB"/>
        </w:rPr>
      </w:pPr>
    </w:p>
    <w:p w14:paraId="5EB64C9D" w14:textId="77777777" w:rsidR="00AB5574" w:rsidRPr="00F11E57" w:rsidRDefault="00AB5574" w:rsidP="005557B1">
      <w:pPr>
        <w:pStyle w:val="BodyText"/>
        <w:spacing w:before="1" w:line="274" w:lineRule="auto"/>
        <w:ind w:firstLine="0"/>
        <w:rPr>
          <w:rFonts w:ascii="Lucida Sans Unicode"/>
          <w:sz w:val="12"/>
          <w:lang w:val="en-GB"/>
        </w:rPr>
      </w:pPr>
    </w:p>
    <w:tbl>
      <w:tblPr>
        <w:tblW w:w="0" w:type="auto"/>
        <w:tblInd w:w="492" w:type="dxa"/>
        <w:tblLayout w:type="fixed"/>
        <w:tblCellMar>
          <w:left w:w="0" w:type="dxa"/>
          <w:right w:w="0" w:type="dxa"/>
        </w:tblCellMar>
        <w:tblLook w:val="01E0" w:firstRow="1" w:lastRow="1" w:firstColumn="1" w:lastColumn="1" w:noHBand="0" w:noVBand="0"/>
      </w:tblPr>
      <w:tblGrid>
        <w:gridCol w:w="2069"/>
        <w:gridCol w:w="3109"/>
      </w:tblGrid>
      <w:tr w:rsidR="00AB5574" w:rsidRPr="00F11E57" w14:paraId="6D28F535" w14:textId="77777777" w:rsidTr="009E67BF">
        <w:trPr>
          <w:trHeight w:val="397"/>
        </w:trPr>
        <w:tc>
          <w:tcPr>
            <w:tcW w:w="2069" w:type="dxa"/>
          </w:tcPr>
          <w:p w14:paraId="12A60BA3" w14:textId="77777777" w:rsidR="00AB5574" w:rsidRPr="00F11E57" w:rsidRDefault="006F79B6" w:rsidP="005557B1">
            <w:pPr>
              <w:pStyle w:val="TableParagraph"/>
              <w:spacing w:before="1" w:line="274" w:lineRule="auto"/>
              <w:ind w:left="200"/>
              <w:rPr>
                <w:rFonts w:ascii="Lucida Sans Unicode"/>
                <w:b/>
                <w:lang w:val="en-GB"/>
              </w:rPr>
            </w:pPr>
            <w:r w:rsidRPr="00F11E57">
              <w:rPr>
                <w:rFonts w:ascii="Lucida Sans Unicode"/>
                <w:b/>
                <w:lang w:val="en-GB"/>
              </w:rPr>
              <w:t>Issue Date:</w:t>
            </w:r>
          </w:p>
        </w:tc>
        <w:tc>
          <w:tcPr>
            <w:tcW w:w="3109" w:type="dxa"/>
          </w:tcPr>
          <w:p w14:paraId="07193593" w14:textId="39D76076" w:rsidR="00AB5574" w:rsidRPr="00F11E57" w:rsidRDefault="009E67BF" w:rsidP="00732E9B">
            <w:pPr>
              <w:pStyle w:val="TableParagraph"/>
              <w:spacing w:before="1" w:line="274" w:lineRule="auto"/>
              <w:ind w:left="399"/>
              <w:rPr>
                <w:rFonts w:ascii="Lucida Sans Unicode"/>
                <w:b/>
                <w:lang w:val="en-GB"/>
              </w:rPr>
            </w:pPr>
            <w:r w:rsidRPr="00F11E57">
              <w:rPr>
                <w:rFonts w:ascii="Lucida Sans Unicode"/>
                <w:b/>
                <w:lang w:val="en-GB"/>
              </w:rPr>
              <w:t>[ ]</w:t>
            </w:r>
            <w:r w:rsidR="00C84764" w:rsidRPr="00F11E57">
              <w:rPr>
                <w:rFonts w:ascii="Lucida Sans Unicode"/>
                <w:b/>
                <w:lang w:val="en-GB"/>
              </w:rPr>
              <w:t xml:space="preserve"> </w:t>
            </w:r>
            <w:r w:rsidR="00511E21" w:rsidRPr="00511E21">
              <w:rPr>
                <w:rFonts w:ascii="Lucida Sans Unicode"/>
                <w:bCs/>
                <w:lang w:val="en-GB"/>
              </w:rPr>
              <w:t xml:space="preserve">JUNE </w:t>
            </w:r>
            <w:r w:rsidR="006F79B6" w:rsidRPr="00511E21">
              <w:rPr>
                <w:rFonts w:ascii="Lucida Sans Unicode"/>
                <w:bCs/>
                <w:lang w:val="en-GB"/>
              </w:rPr>
              <w:t>20</w:t>
            </w:r>
            <w:r w:rsidR="00C84764" w:rsidRPr="00511E21">
              <w:rPr>
                <w:rFonts w:ascii="Lucida Sans Unicode"/>
                <w:bCs/>
                <w:lang w:val="en-GB"/>
              </w:rPr>
              <w:t>20</w:t>
            </w:r>
          </w:p>
        </w:tc>
      </w:tr>
      <w:tr w:rsidR="00AB5574" w:rsidRPr="00F11E57" w14:paraId="7DAFECD1" w14:textId="77777777" w:rsidTr="009E67BF">
        <w:trPr>
          <w:trHeight w:val="457"/>
        </w:trPr>
        <w:tc>
          <w:tcPr>
            <w:tcW w:w="2069" w:type="dxa"/>
          </w:tcPr>
          <w:p w14:paraId="5753E3EB" w14:textId="77777777" w:rsidR="00AB5574" w:rsidRPr="00F11E57" w:rsidRDefault="006F79B6" w:rsidP="005557B1">
            <w:pPr>
              <w:pStyle w:val="TableParagraph"/>
              <w:spacing w:before="1" w:line="274" w:lineRule="auto"/>
              <w:ind w:left="200"/>
              <w:rPr>
                <w:rFonts w:ascii="Lucida Sans Unicode"/>
                <w:lang w:val="en-GB"/>
              </w:rPr>
            </w:pPr>
            <w:r w:rsidRPr="00F11E57">
              <w:rPr>
                <w:rFonts w:ascii="Lucida Sans Unicode"/>
                <w:lang w:val="en-GB"/>
              </w:rPr>
              <w:t>Last Updated:</w:t>
            </w:r>
          </w:p>
        </w:tc>
        <w:tc>
          <w:tcPr>
            <w:tcW w:w="3109" w:type="dxa"/>
          </w:tcPr>
          <w:p w14:paraId="485B9D57" w14:textId="23C40210" w:rsidR="00AB5574" w:rsidRPr="00F11E57" w:rsidRDefault="009E67BF" w:rsidP="00732E9B">
            <w:pPr>
              <w:pStyle w:val="TableParagraph"/>
              <w:spacing w:before="1" w:line="274" w:lineRule="auto"/>
              <w:ind w:left="399"/>
              <w:rPr>
                <w:rFonts w:ascii="Lucida Sans Unicode"/>
                <w:lang w:val="en-GB"/>
              </w:rPr>
            </w:pPr>
            <w:r w:rsidRPr="00F11E57">
              <w:rPr>
                <w:rFonts w:ascii="Lucida Sans Unicode"/>
                <w:lang w:val="en-GB"/>
              </w:rPr>
              <w:t>[ ]</w:t>
            </w:r>
            <w:r w:rsidR="006F79B6" w:rsidRPr="00F11E57">
              <w:rPr>
                <w:rFonts w:ascii="Lucida Sans Unicode"/>
                <w:lang w:val="en-GB"/>
              </w:rPr>
              <w:t xml:space="preserve"> 20</w:t>
            </w:r>
            <w:r w:rsidR="00C84764" w:rsidRPr="00F11E57">
              <w:rPr>
                <w:rFonts w:ascii="Lucida Sans Unicode"/>
                <w:lang w:val="en-GB"/>
              </w:rPr>
              <w:t>20</w:t>
            </w:r>
          </w:p>
        </w:tc>
      </w:tr>
      <w:tr w:rsidR="00AB5574" w:rsidRPr="00F11E57" w14:paraId="05CC5AB7" w14:textId="77777777" w:rsidTr="009E67BF">
        <w:trPr>
          <w:trHeight w:val="398"/>
        </w:trPr>
        <w:tc>
          <w:tcPr>
            <w:tcW w:w="2069" w:type="dxa"/>
          </w:tcPr>
          <w:p w14:paraId="611D0270" w14:textId="77777777" w:rsidR="00AB5574" w:rsidRPr="00F11E57" w:rsidRDefault="006F79B6" w:rsidP="005557B1">
            <w:pPr>
              <w:pStyle w:val="TableParagraph"/>
              <w:spacing w:before="1" w:line="274" w:lineRule="auto"/>
              <w:ind w:left="200"/>
              <w:rPr>
                <w:rFonts w:ascii="Lucida Sans Unicode"/>
                <w:lang w:val="en-GB"/>
              </w:rPr>
            </w:pPr>
            <w:r w:rsidRPr="00F11E57">
              <w:rPr>
                <w:rFonts w:ascii="Lucida Sans Unicode"/>
                <w:lang w:val="en-GB"/>
              </w:rPr>
              <w:t>Version:</w:t>
            </w:r>
          </w:p>
        </w:tc>
        <w:tc>
          <w:tcPr>
            <w:tcW w:w="3109" w:type="dxa"/>
          </w:tcPr>
          <w:p w14:paraId="30F36DE9" w14:textId="353B9D5C" w:rsidR="00AB5574" w:rsidRPr="00F11E57" w:rsidRDefault="009E67BF" w:rsidP="005557B1">
            <w:pPr>
              <w:pStyle w:val="TableParagraph"/>
              <w:spacing w:before="1" w:line="274" w:lineRule="auto"/>
              <w:ind w:left="399"/>
              <w:rPr>
                <w:rFonts w:ascii="Lucida Sans Unicode"/>
                <w:lang w:val="en-GB"/>
              </w:rPr>
            </w:pPr>
            <w:r w:rsidRPr="00F11E57">
              <w:rPr>
                <w:rFonts w:ascii="Lucida Sans Unicode"/>
                <w:lang w:val="en-GB"/>
              </w:rPr>
              <w:t>V</w:t>
            </w:r>
            <w:r w:rsidR="00B35BF7" w:rsidRPr="00F11E57">
              <w:rPr>
                <w:rFonts w:ascii="Lucida Sans Unicode"/>
                <w:lang w:val="en-GB"/>
              </w:rPr>
              <w:t>2</w:t>
            </w:r>
            <w:r w:rsidR="006F79B6" w:rsidRPr="00F11E57">
              <w:rPr>
                <w:rFonts w:ascii="Lucida Sans Unicode"/>
                <w:lang w:val="en-GB"/>
              </w:rPr>
              <w:t>.0</w:t>
            </w:r>
          </w:p>
        </w:tc>
      </w:tr>
    </w:tbl>
    <w:p w14:paraId="0BC0D482" w14:textId="77777777" w:rsidR="00AB5574" w:rsidRPr="00F11E57" w:rsidRDefault="00AB5574" w:rsidP="005557B1">
      <w:pPr>
        <w:pStyle w:val="BodyText"/>
        <w:spacing w:before="1" w:line="274" w:lineRule="auto"/>
        <w:ind w:firstLine="0"/>
        <w:rPr>
          <w:rFonts w:ascii="Lucida Sans Unicode"/>
          <w:sz w:val="20"/>
          <w:lang w:val="en-GB"/>
        </w:rPr>
      </w:pPr>
    </w:p>
    <w:p w14:paraId="7FA53146" w14:textId="77777777" w:rsidR="00AB5574" w:rsidRPr="00F11E57" w:rsidRDefault="00AB5574" w:rsidP="005557B1">
      <w:pPr>
        <w:pStyle w:val="BodyText"/>
        <w:spacing w:before="1" w:line="274" w:lineRule="auto"/>
        <w:ind w:firstLine="0"/>
        <w:rPr>
          <w:rFonts w:ascii="Lucida Sans Unicode"/>
          <w:sz w:val="20"/>
          <w:lang w:val="en-GB"/>
        </w:rPr>
      </w:pPr>
    </w:p>
    <w:p w14:paraId="2E0A645B" w14:textId="77777777" w:rsidR="00AB5574" w:rsidRPr="00F11E57" w:rsidRDefault="00AB5574" w:rsidP="005557B1">
      <w:pPr>
        <w:pStyle w:val="BodyText"/>
        <w:spacing w:before="1" w:line="274" w:lineRule="auto"/>
        <w:ind w:firstLine="0"/>
        <w:rPr>
          <w:rFonts w:ascii="Lucida Sans Unicode"/>
          <w:sz w:val="20"/>
          <w:lang w:val="en-GB"/>
        </w:rPr>
      </w:pPr>
    </w:p>
    <w:p w14:paraId="5FB8C535" w14:textId="77777777" w:rsidR="00AB5574" w:rsidRPr="00F11E57" w:rsidRDefault="006F79B6" w:rsidP="005557B1">
      <w:pPr>
        <w:spacing w:before="1" w:line="274" w:lineRule="auto"/>
        <w:ind w:left="826"/>
        <w:rPr>
          <w:rFonts w:ascii="Lucida Sans Unicode"/>
          <w:b/>
          <w:lang w:val="en-GB"/>
        </w:rPr>
      </w:pPr>
      <w:r w:rsidRPr="00F11E57">
        <w:rPr>
          <w:rFonts w:ascii="Lucida Sans Unicode"/>
          <w:b/>
          <w:lang w:val="en-GB"/>
        </w:rPr>
        <w:t>DISCLAIMER:</w:t>
      </w:r>
    </w:p>
    <w:p w14:paraId="187180A8" w14:textId="7DBAF90E" w:rsidR="00253E22" w:rsidRPr="00F11E57" w:rsidRDefault="00253E22" w:rsidP="0079252B">
      <w:pPr>
        <w:spacing w:before="1" w:line="274" w:lineRule="auto"/>
        <w:ind w:left="826" w:right="570"/>
        <w:rPr>
          <w:rFonts w:ascii="Lucida Sans Unicode"/>
          <w:i/>
          <w:spacing w:val="21"/>
          <w:sz w:val="23"/>
          <w:lang w:val="en-GB"/>
        </w:rPr>
      </w:pPr>
      <w:r w:rsidRPr="00F11E57">
        <w:rPr>
          <w:rFonts w:ascii="Lucida Sans Unicode"/>
          <w:i/>
          <w:sz w:val="23"/>
          <w:lang w:val="en-GB"/>
        </w:rPr>
        <w:t>This</w:t>
      </w:r>
      <w:r w:rsidR="006F79B6" w:rsidRPr="00F11E57">
        <w:rPr>
          <w:rFonts w:ascii="Lucida Sans Unicode"/>
          <w:i/>
          <w:sz w:val="23"/>
          <w:lang w:val="en-GB"/>
        </w:rPr>
        <w:t xml:space="preserve"> </w:t>
      </w:r>
      <w:r w:rsidRPr="00F11E57">
        <w:rPr>
          <w:rFonts w:ascii="Lucida Sans Unicode"/>
          <w:i/>
          <w:sz w:val="23"/>
          <w:lang w:val="en-GB"/>
        </w:rPr>
        <w:t>Guidance Note is</w:t>
      </w:r>
      <w:r w:rsidR="006F79B6" w:rsidRPr="00F11E57">
        <w:rPr>
          <w:rFonts w:ascii="Lucida Sans Unicode"/>
          <w:i/>
          <w:sz w:val="23"/>
          <w:lang w:val="en-GB"/>
        </w:rPr>
        <w:t xml:space="preserve"> designed to provide information in relation to the implementation</w:t>
      </w:r>
      <w:r w:rsidR="006F79B6" w:rsidRPr="00F11E57">
        <w:rPr>
          <w:rFonts w:ascii="Lucida Sans Unicode"/>
          <w:i/>
          <w:spacing w:val="-33"/>
          <w:sz w:val="23"/>
          <w:lang w:val="en-GB"/>
        </w:rPr>
        <w:t xml:space="preserve"> </w:t>
      </w:r>
      <w:r w:rsidR="006F79B6" w:rsidRPr="00F11E57">
        <w:rPr>
          <w:rFonts w:ascii="Lucida Sans Unicode"/>
          <w:i/>
          <w:sz w:val="23"/>
          <w:lang w:val="en-GB"/>
        </w:rPr>
        <w:t>of</w:t>
      </w:r>
      <w:r w:rsidR="006F79B6" w:rsidRPr="00F11E57">
        <w:rPr>
          <w:rFonts w:ascii="Lucida Sans Unicode"/>
          <w:i/>
          <w:spacing w:val="-31"/>
          <w:sz w:val="23"/>
          <w:lang w:val="en-GB"/>
        </w:rPr>
        <w:t xml:space="preserve"> </w:t>
      </w:r>
      <w:r w:rsidR="006F79B6" w:rsidRPr="00F11E57">
        <w:rPr>
          <w:rFonts w:ascii="Lucida Sans Unicode"/>
          <w:i/>
          <w:sz w:val="23"/>
          <w:lang w:val="en-GB"/>
        </w:rPr>
        <w:t>the</w:t>
      </w:r>
      <w:r w:rsidR="00C83BFE" w:rsidRPr="00F11E57">
        <w:rPr>
          <w:rFonts w:ascii="Lucida Sans Unicode"/>
          <w:i/>
          <w:spacing w:val="-34"/>
          <w:sz w:val="23"/>
          <w:lang w:val="en-GB"/>
        </w:rPr>
        <w:t xml:space="preserve"> </w:t>
      </w:r>
      <w:r w:rsidR="006F79B6" w:rsidRPr="00F11E57">
        <w:rPr>
          <w:rFonts w:ascii="Lucida Sans Unicode"/>
          <w:i/>
          <w:sz w:val="23"/>
          <w:lang w:val="en-GB"/>
        </w:rPr>
        <w:t>Automatic</w:t>
      </w:r>
      <w:r w:rsidR="006F79B6" w:rsidRPr="00F11E57">
        <w:rPr>
          <w:rFonts w:ascii="Lucida Sans Unicode"/>
          <w:i/>
          <w:spacing w:val="-33"/>
          <w:sz w:val="23"/>
          <w:lang w:val="en-GB"/>
        </w:rPr>
        <w:t xml:space="preserve"> </w:t>
      </w:r>
      <w:r w:rsidR="006F79B6" w:rsidRPr="00F11E57">
        <w:rPr>
          <w:rFonts w:ascii="Lucida Sans Unicode"/>
          <w:i/>
          <w:sz w:val="23"/>
          <w:lang w:val="en-GB"/>
        </w:rPr>
        <w:t>Exchange</w:t>
      </w:r>
      <w:r w:rsidR="006F79B6" w:rsidRPr="00F11E57">
        <w:rPr>
          <w:rFonts w:ascii="Lucida Sans Unicode"/>
          <w:i/>
          <w:spacing w:val="-32"/>
          <w:sz w:val="23"/>
          <w:lang w:val="en-GB"/>
        </w:rPr>
        <w:t xml:space="preserve"> </w:t>
      </w:r>
      <w:r w:rsidR="006F79B6" w:rsidRPr="00F11E57">
        <w:rPr>
          <w:rFonts w:ascii="Lucida Sans Unicode"/>
          <w:i/>
          <w:sz w:val="23"/>
          <w:lang w:val="en-GB"/>
        </w:rPr>
        <w:t>of</w:t>
      </w:r>
      <w:r w:rsidR="006F79B6" w:rsidRPr="00F11E57">
        <w:rPr>
          <w:rFonts w:ascii="Lucida Sans Unicode"/>
          <w:i/>
          <w:spacing w:val="-31"/>
          <w:sz w:val="23"/>
          <w:lang w:val="en-GB"/>
        </w:rPr>
        <w:t xml:space="preserve"> </w:t>
      </w:r>
      <w:r w:rsidR="006F79B6" w:rsidRPr="00F11E57">
        <w:rPr>
          <w:rFonts w:ascii="Lucida Sans Unicode"/>
          <w:i/>
          <w:sz w:val="23"/>
          <w:lang w:val="en-GB"/>
        </w:rPr>
        <w:t>Information</w:t>
      </w:r>
      <w:r w:rsidR="006F79B6" w:rsidRPr="00F11E57">
        <w:rPr>
          <w:rFonts w:ascii="Lucida Sans Unicode"/>
          <w:i/>
          <w:spacing w:val="-33"/>
          <w:sz w:val="23"/>
          <w:lang w:val="en-GB"/>
        </w:rPr>
        <w:t xml:space="preserve"> </w:t>
      </w:r>
      <w:r w:rsidR="006F79B6" w:rsidRPr="00F11E57">
        <w:rPr>
          <w:rFonts w:ascii="Lucida Sans Unicode"/>
          <w:i/>
          <w:sz w:val="23"/>
          <w:lang w:val="en-GB"/>
        </w:rPr>
        <w:t>for</w:t>
      </w:r>
      <w:r w:rsidR="006F79B6" w:rsidRPr="00F11E57">
        <w:rPr>
          <w:rFonts w:ascii="Lucida Sans Unicode"/>
          <w:i/>
          <w:spacing w:val="-31"/>
          <w:sz w:val="23"/>
          <w:lang w:val="en-GB"/>
        </w:rPr>
        <w:t xml:space="preserve"> </w:t>
      </w:r>
      <w:r w:rsidR="005868DD" w:rsidRPr="00F11E57">
        <w:rPr>
          <w:rFonts w:ascii="Lucida Sans Unicode"/>
          <w:i/>
          <w:sz w:val="23"/>
          <w:lang w:val="en-GB"/>
        </w:rPr>
        <w:t>T</w:t>
      </w:r>
      <w:r w:rsidR="006F79B6" w:rsidRPr="00F11E57">
        <w:rPr>
          <w:rFonts w:ascii="Lucida Sans Unicode"/>
          <w:i/>
          <w:sz w:val="23"/>
          <w:lang w:val="en-GB"/>
        </w:rPr>
        <w:t>ax</w:t>
      </w:r>
      <w:r w:rsidR="006F79B6" w:rsidRPr="00F11E57">
        <w:rPr>
          <w:rFonts w:ascii="Lucida Sans Unicode"/>
          <w:i/>
          <w:spacing w:val="-31"/>
          <w:sz w:val="23"/>
          <w:lang w:val="en-GB"/>
        </w:rPr>
        <w:t xml:space="preserve"> </w:t>
      </w:r>
      <w:r w:rsidR="005868DD" w:rsidRPr="00F11E57">
        <w:rPr>
          <w:rFonts w:ascii="Lucida Sans Unicode"/>
          <w:i/>
          <w:sz w:val="23"/>
          <w:lang w:val="en-GB"/>
        </w:rPr>
        <w:t>P</w:t>
      </w:r>
      <w:r w:rsidR="006F79B6" w:rsidRPr="00F11E57">
        <w:rPr>
          <w:rFonts w:ascii="Lucida Sans Unicode"/>
          <w:i/>
          <w:sz w:val="23"/>
          <w:lang w:val="en-GB"/>
        </w:rPr>
        <w:t>urposes</w:t>
      </w:r>
      <w:r w:rsidR="006F79B6" w:rsidRPr="00F11E57">
        <w:rPr>
          <w:rFonts w:ascii="Lucida Sans Unicode"/>
          <w:i/>
          <w:spacing w:val="-30"/>
          <w:sz w:val="23"/>
          <w:lang w:val="en-GB"/>
        </w:rPr>
        <w:t xml:space="preserve"> </w:t>
      </w:r>
      <w:r w:rsidR="006F79B6" w:rsidRPr="00F11E57">
        <w:rPr>
          <w:rFonts w:ascii="Lucida Sans Unicode"/>
          <w:i/>
          <w:sz w:val="23"/>
          <w:lang w:val="en-GB"/>
        </w:rPr>
        <w:t>- the</w:t>
      </w:r>
      <w:r w:rsidR="006F79B6" w:rsidRPr="00F11E57">
        <w:rPr>
          <w:rFonts w:ascii="Lucida Sans Unicode"/>
          <w:i/>
          <w:spacing w:val="-27"/>
          <w:sz w:val="23"/>
          <w:lang w:val="en-GB"/>
        </w:rPr>
        <w:t xml:space="preserve"> </w:t>
      </w:r>
      <w:r w:rsidR="006F79B6" w:rsidRPr="00F11E57">
        <w:rPr>
          <w:rFonts w:ascii="Lucida Sans Unicode"/>
          <w:i/>
          <w:sz w:val="23"/>
          <w:lang w:val="en-GB"/>
        </w:rPr>
        <w:t>Common</w:t>
      </w:r>
      <w:r w:rsidR="006F79B6" w:rsidRPr="00F11E57">
        <w:rPr>
          <w:rFonts w:ascii="Lucida Sans Unicode"/>
          <w:i/>
          <w:spacing w:val="-26"/>
          <w:sz w:val="23"/>
          <w:lang w:val="en-GB"/>
        </w:rPr>
        <w:t xml:space="preserve"> </w:t>
      </w:r>
      <w:r w:rsidR="006F79B6" w:rsidRPr="00F11E57">
        <w:rPr>
          <w:rFonts w:ascii="Lucida Sans Unicode"/>
          <w:i/>
          <w:sz w:val="23"/>
          <w:lang w:val="en-GB"/>
        </w:rPr>
        <w:t>Reporting</w:t>
      </w:r>
      <w:r w:rsidR="006F79B6" w:rsidRPr="00F11E57">
        <w:rPr>
          <w:rFonts w:ascii="Lucida Sans Unicode"/>
          <w:i/>
          <w:spacing w:val="-26"/>
          <w:sz w:val="23"/>
          <w:lang w:val="en-GB"/>
        </w:rPr>
        <w:t xml:space="preserve"> </w:t>
      </w:r>
      <w:r w:rsidR="006F79B6" w:rsidRPr="00F11E57">
        <w:rPr>
          <w:rFonts w:ascii="Lucida Sans Unicode"/>
          <w:i/>
          <w:sz w:val="23"/>
          <w:lang w:val="en-GB"/>
        </w:rPr>
        <w:t>Standard</w:t>
      </w:r>
      <w:r w:rsidR="006F79B6" w:rsidRPr="00F11E57">
        <w:rPr>
          <w:rFonts w:ascii="Lucida Sans Unicode"/>
          <w:i/>
          <w:spacing w:val="-25"/>
          <w:sz w:val="23"/>
          <w:lang w:val="en-GB"/>
        </w:rPr>
        <w:t xml:space="preserve"> </w:t>
      </w:r>
      <w:r w:rsidR="00976BD5" w:rsidRPr="00F11E57">
        <w:rPr>
          <w:rFonts w:ascii="Lucida Sans Unicode"/>
          <w:i/>
          <w:sz w:val="23"/>
          <w:lang w:val="en-GB"/>
        </w:rPr>
        <w:t>–</w:t>
      </w:r>
      <w:r w:rsidR="006F79B6" w:rsidRPr="00F11E57">
        <w:rPr>
          <w:rFonts w:ascii="Lucida Sans Unicode"/>
          <w:i/>
          <w:spacing w:val="-29"/>
          <w:sz w:val="23"/>
          <w:lang w:val="en-GB"/>
        </w:rPr>
        <w:t xml:space="preserve"> </w:t>
      </w:r>
      <w:r w:rsidR="00976BD5" w:rsidRPr="00F11E57">
        <w:rPr>
          <w:rFonts w:ascii="Lucida Sans Unicode"/>
          <w:i/>
          <w:spacing w:val="-29"/>
          <w:sz w:val="23"/>
          <w:lang w:val="en-GB"/>
        </w:rPr>
        <w:t xml:space="preserve">( </w:t>
      </w:r>
      <w:r w:rsidR="00976BD5" w:rsidRPr="00F11E57">
        <w:rPr>
          <w:rFonts w:ascii="Lucida Sans Unicode"/>
          <w:i/>
          <w:spacing w:val="-29"/>
          <w:sz w:val="23"/>
          <w:lang w:val="en-GB"/>
        </w:rPr>
        <w:t>“</w:t>
      </w:r>
      <w:r w:rsidR="006F79B6" w:rsidRPr="00F11E57">
        <w:rPr>
          <w:rFonts w:ascii="Lucida Sans Unicode"/>
          <w:i/>
          <w:sz w:val="23"/>
          <w:lang w:val="en-GB"/>
        </w:rPr>
        <w:t>CRS</w:t>
      </w:r>
      <w:r w:rsidR="005868DD" w:rsidRPr="00F11E57">
        <w:rPr>
          <w:rFonts w:ascii="Lucida Sans Unicode"/>
          <w:i/>
          <w:sz w:val="23"/>
          <w:lang w:val="en-GB"/>
        </w:rPr>
        <w:t>”</w:t>
      </w:r>
      <w:r w:rsidR="005868DD" w:rsidRPr="00F11E57">
        <w:rPr>
          <w:rFonts w:ascii="Lucida Sans Unicode"/>
          <w:i/>
          <w:sz w:val="23"/>
          <w:lang w:val="en-GB"/>
        </w:rPr>
        <w:t>)</w:t>
      </w:r>
      <w:r w:rsidR="006F79B6" w:rsidRPr="00F11E57">
        <w:rPr>
          <w:rFonts w:ascii="Lucida Sans Unicode"/>
          <w:i/>
          <w:spacing w:val="-28"/>
          <w:sz w:val="23"/>
          <w:lang w:val="en-GB"/>
        </w:rPr>
        <w:t xml:space="preserve"> </w:t>
      </w:r>
      <w:r w:rsidR="006F79B6" w:rsidRPr="00F11E57">
        <w:rPr>
          <w:rFonts w:ascii="Lucida Sans Unicode"/>
          <w:i/>
          <w:sz w:val="23"/>
          <w:lang w:val="en-GB"/>
        </w:rPr>
        <w:t>in</w:t>
      </w:r>
      <w:r w:rsidR="006F79B6" w:rsidRPr="00F11E57">
        <w:rPr>
          <w:rFonts w:ascii="Lucida Sans Unicode"/>
          <w:i/>
          <w:spacing w:val="-26"/>
          <w:sz w:val="23"/>
          <w:lang w:val="en-GB"/>
        </w:rPr>
        <w:t xml:space="preserve"> </w:t>
      </w:r>
      <w:r w:rsidR="006F79B6" w:rsidRPr="00F11E57">
        <w:rPr>
          <w:rFonts w:ascii="Lucida Sans Unicode"/>
          <w:i/>
          <w:sz w:val="23"/>
          <w:lang w:val="en-GB"/>
        </w:rPr>
        <w:t>the</w:t>
      </w:r>
      <w:r w:rsidR="006F79B6" w:rsidRPr="00F11E57">
        <w:rPr>
          <w:rFonts w:ascii="Lucida Sans Unicode"/>
          <w:i/>
          <w:spacing w:val="-26"/>
          <w:sz w:val="23"/>
          <w:lang w:val="en-GB"/>
        </w:rPr>
        <w:t xml:space="preserve"> </w:t>
      </w:r>
      <w:r w:rsidR="006F79B6" w:rsidRPr="00F11E57">
        <w:rPr>
          <w:rFonts w:ascii="Lucida Sans Unicode"/>
          <w:i/>
          <w:sz w:val="23"/>
          <w:lang w:val="en-GB"/>
        </w:rPr>
        <w:t>UAE.</w:t>
      </w:r>
      <w:r w:rsidR="006F79B6" w:rsidRPr="00F11E57">
        <w:rPr>
          <w:rFonts w:ascii="Lucida Sans Unicode"/>
          <w:i/>
          <w:spacing w:val="21"/>
          <w:sz w:val="23"/>
          <w:lang w:val="en-GB"/>
        </w:rPr>
        <w:t xml:space="preserve"> </w:t>
      </w:r>
      <w:r w:rsidR="0079252B" w:rsidRPr="00F11E57">
        <w:rPr>
          <w:rFonts w:ascii="Lucida Sans Unicode"/>
          <w:i/>
          <w:sz w:val="23"/>
          <w:lang w:val="en-GB"/>
        </w:rPr>
        <w:t xml:space="preserve">This document does not constitute legal or tax advice. </w:t>
      </w:r>
      <w:r w:rsidR="00162059" w:rsidRPr="00F11E57">
        <w:rPr>
          <w:rFonts w:ascii="Lucida Sans Unicode"/>
          <w:i/>
          <w:sz w:val="23"/>
          <w:lang w:val="en-GB"/>
        </w:rPr>
        <w:t xml:space="preserve">Reviewing this document is </w:t>
      </w:r>
      <w:r w:rsidR="005868DD" w:rsidRPr="00F11E57">
        <w:rPr>
          <w:rFonts w:ascii="Lucida Sans Unicode"/>
          <w:i/>
          <w:sz w:val="23"/>
          <w:lang w:val="en-GB"/>
        </w:rPr>
        <w:t>not a substitute for:</w:t>
      </w:r>
      <w:r w:rsidR="00162059" w:rsidRPr="00F11E57">
        <w:rPr>
          <w:rFonts w:ascii="Lucida Sans Unicode"/>
          <w:i/>
          <w:sz w:val="23"/>
          <w:lang w:val="en-GB"/>
        </w:rPr>
        <w:t xml:space="preserve"> (i) reviewing and considering the relevant</w:t>
      </w:r>
      <w:r w:rsidR="005868DD" w:rsidRPr="00F11E57">
        <w:rPr>
          <w:rFonts w:ascii="Lucida Sans Unicode"/>
          <w:i/>
          <w:sz w:val="23"/>
          <w:lang w:val="en-GB"/>
        </w:rPr>
        <w:t xml:space="preserve"> </w:t>
      </w:r>
      <w:r w:rsidR="00162059" w:rsidRPr="00F11E57">
        <w:rPr>
          <w:rFonts w:ascii="Lucida Sans Unicode"/>
          <w:i/>
          <w:sz w:val="23"/>
          <w:lang w:val="en-GB"/>
        </w:rPr>
        <w:t xml:space="preserve">applicable laws in their entirety and in detail; and (ii) obtaining appropriate legal and tax advice. </w:t>
      </w:r>
    </w:p>
    <w:p w14:paraId="050625C0" w14:textId="77777777" w:rsidR="005868DD" w:rsidRPr="00F11E57" w:rsidRDefault="005868DD" w:rsidP="005868DD">
      <w:pPr>
        <w:spacing w:before="1" w:line="274" w:lineRule="auto"/>
        <w:ind w:left="826" w:right="570"/>
        <w:rPr>
          <w:rFonts w:ascii="Lucida Sans Unicode"/>
          <w:i/>
          <w:sz w:val="23"/>
          <w:lang w:val="en-GB"/>
        </w:rPr>
      </w:pPr>
    </w:p>
    <w:p w14:paraId="181F9495" w14:textId="77777777" w:rsidR="00AB5574" w:rsidRPr="00F11E57" w:rsidRDefault="00AB5574" w:rsidP="005557B1">
      <w:pPr>
        <w:pStyle w:val="BodyText"/>
        <w:spacing w:before="1" w:line="274" w:lineRule="auto"/>
        <w:ind w:firstLine="0"/>
        <w:rPr>
          <w:rFonts w:ascii="Lucida Sans Unicode"/>
          <w:i/>
          <w:sz w:val="21"/>
          <w:lang w:val="en-GB"/>
        </w:rPr>
      </w:pPr>
    </w:p>
    <w:p w14:paraId="0E93C850" w14:textId="77777777" w:rsidR="00AB5574" w:rsidRPr="00F11E57" w:rsidRDefault="00E501CE" w:rsidP="005557B1">
      <w:pPr>
        <w:spacing w:before="1" w:line="274" w:lineRule="auto"/>
        <w:ind w:left="116"/>
        <w:rPr>
          <w:rFonts w:ascii="Lucida Sans Unicode"/>
          <w:sz w:val="36"/>
          <w:lang w:val="en-GB"/>
        </w:rPr>
      </w:pPr>
      <w:hyperlink r:id="rId12">
        <w:r w:rsidR="006F79B6" w:rsidRPr="00F11E57">
          <w:rPr>
            <w:rFonts w:ascii="Lucida Sans Unicode"/>
            <w:sz w:val="36"/>
            <w:lang w:val="en-GB"/>
          </w:rPr>
          <w:t>www.mof.gov.ae</w:t>
        </w:r>
      </w:hyperlink>
    </w:p>
    <w:p w14:paraId="567850AB" w14:textId="77777777" w:rsidR="00AB5574" w:rsidRPr="00F11E57" w:rsidRDefault="00AB5574" w:rsidP="005557B1">
      <w:pPr>
        <w:spacing w:before="1" w:line="274" w:lineRule="auto"/>
        <w:rPr>
          <w:rFonts w:ascii="Lucida Sans Unicode"/>
          <w:sz w:val="36"/>
          <w:lang w:val="en-GB"/>
        </w:rPr>
        <w:sectPr w:rsidR="00AB5574" w:rsidRPr="00F11E57">
          <w:type w:val="continuous"/>
          <w:pgSz w:w="11910" w:h="16840"/>
          <w:pgMar w:top="800" w:right="860" w:bottom="0" w:left="1180" w:header="720" w:footer="720" w:gutter="0"/>
          <w:cols w:space="720"/>
        </w:sectPr>
      </w:pPr>
    </w:p>
    <w:p w14:paraId="62502627" w14:textId="77777777" w:rsidR="00657B9D" w:rsidRPr="00F11E57" w:rsidRDefault="00657B9D" w:rsidP="00657B9D">
      <w:pPr>
        <w:pStyle w:val="BodyText"/>
        <w:spacing w:before="1" w:line="274" w:lineRule="auto"/>
        <w:ind w:left="620" w:firstLine="0"/>
        <w:rPr>
          <w:rFonts w:ascii="Lucida Sans Unicode"/>
          <w:lang w:val="en-GB"/>
        </w:rPr>
      </w:pPr>
      <w:r w:rsidRPr="00F11E57">
        <w:rPr>
          <w:rFonts w:ascii="Lucida Sans Unicode" w:eastAsia="Lucida Sans Unicode" w:hAnsi="Lucida Sans Unicode" w:cs="Lucida Sans Unicode"/>
          <w:lang w:val="en-GB"/>
        </w:rPr>
        <w:lastRenderedPageBreak/>
        <w:t>Contents</w:t>
      </w:r>
    </w:p>
    <w:p w14:paraId="04D239D3" w14:textId="77777777" w:rsidR="0014215F" w:rsidRPr="00F11E57" w:rsidRDefault="00657B9D">
      <w:pPr>
        <w:pStyle w:val="TOC1"/>
        <w:tabs>
          <w:tab w:val="left" w:pos="667"/>
          <w:tab w:val="right" w:leader="dot" w:pos="9860"/>
        </w:tabs>
        <w:rPr>
          <w:rFonts w:asciiTheme="minorHAnsi" w:eastAsiaTheme="minorEastAsia" w:hAnsiTheme="minorHAnsi" w:cstheme="minorBidi"/>
          <w:noProof/>
          <w:sz w:val="24"/>
          <w:szCs w:val="24"/>
          <w:lang w:eastAsia="ja-JP"/>
        </w:rPr>
      </w:pPr>
      <w:r w:rsidRPr="00F11E57">
        <w:rPr>
          <w:lang w:val="en-GB"/>
        </w:rPr>
        <w:fldChar w:fldCharType="begin"/>
      </w:r>
      <w:r w:rsidRPr="00F11E57">
        <w:rPr>
          <w:lang w:val="en-GB"/>
        </w:rPr>
        <w:instrText xml:space="preserve"> TOC \o "1-2" \h \z \u </w:instrText>
      </w:r>
      <w:r w:rsidRPr="00F11E57">
        <w:rPr>
          <w:lang w:val="en-GB"/>
        </w:rPr>
        <w:fldChar w:fldCharType="separate"/>
      </w:r>
      <w:r w:rsidR="0014215F" w:rsidRPr="00F11E57">
        <w:rPr>
          <w:rFonts w:ascii="Calibri"/>
          <w:noProof/>
          <w:color w:val="B89207"/>
          <w:lang w:val="en-GB"/>
        </w:rPr>
        <w:t>1.</w:t>
      </w:r>
      <w:r w:rsidR="0014215F" w:rsidRPr="00F11E57">
        <w:rPr>
          <w:rFonts w:asciiTheme="minorHAnsi" w:eastAsiaTheme="minorEastAsia" w:hAnsiTheme="minorHAnsi" w:cstheme="minorBidi"/>
          <w:noProof/>
          <w:sz w:val="24"/>
          <w:szCs w:val="24"/>
          <w:lang w:eastAsia="ja-JP"/>
        </w:rPr>
        <w:tab/>
      </w:r>
      <w:r w:rsidR="0014215F" w:rsidRPr="00F11E57">
        <w:rPr>
          <w:rFonts w:ascii="Calibri"/>
          <w:noProof/>
          <w:color w:val="B89207"/>
          <w:lang w:val="en-GB"/>
        </w:rPr>
        <w:t>GENERAL</w:t>
      </w:r>
      <w:r w:rsidR="0014215F" w:rsidRPr="00F11E57">
        <w:rPr>
          <w:rFonts w:ascii="Calibri"/>
          <w:noProof/>
          <w:color w:val="B89207"/>
          <w:spacing w:val="-3"/>
          <w:lang w:val="en-GB"/>
        </w:rPr>
        <w:t xml:space="preserve"> </w:t>
      </w:r>
      <w:r w:rsidR="0014215F" w:rsidRPr="00F11E57">
        <w:rPr>
          <w:rFonts w:ascii="Calibri"/>
          <w:noProof/>
          <w:color w:val="B89207"/>
          <w:lang w:val="en-GB"/>
        </w:rPr>
        <w:t>INTRODUCTION</w:t>
      </w:r>
      <w:r w:rsidR="0014215F" w:rsidRPr="00F11E57">
        <w:rPr>
          <w:noProof/>
        </w:rPr>
        <w:tab/>
      </w:r>
      <w:r w:rsidR="0014215F" w:rsidRPr="00F11E57">
        <w:rPr>
          <w:noProof/>
        </w:rPr>
        <w:fldChar w:fldCharType="begin"/>
      </w:r>
      <w:r w:rsidR="0014215F" w:rsidRPr="00F11E57">
        <w:rPr>
          <w:noProof/>
        </w:rPr>
        <w:instrText xml:space="preserve"> PAGEREF _Toc448011175 \h </w:instrText>
      </w:r>
      <w:r w:rsidR="0014215F" w:rsidRPr="00F11E57">
        <w:rPr>
          <w:noProof/>
        </w:rPr>
      </w:r>
      <w:r w:rsidR="0014215F" w:rsidRPr="00F11E57">
        <w:rPr>
          <w:noProof/>
        </w:rPr>
        <w:fldChar w:fldCharType="separate"/>
      </w:r>
      <w:r w:rsidR="0014215F" w:rsidRPr="00F11E57">
        <w:rPr>
          <w:noProof/>
        </w:rPr>
        <w:t>3</w:t>
      </w:r>
      <w:r w:rsidR="0014215F" w:rsidRPr="00F11E57">
        <w:rPr>
          <w:noProof/>
        </w:rPr>
        <w:fldChar w:fldCharType="end"/>
      </w:r>
    </w:p>
    <w:p w14:paraId="100102EF" w14:textId="77777777" w:rsidR="0014215F" w:rsidRPr="00F11E57" w:rsidRDefault="0014215F">
      <w:pPr>
        <w:pStyle w:val="TOC1"/>
        <w:tabs>
          <w:tab w:val="left" w:pos="667"/>
          <w:tab w:val="right" w:leader="dot" w:pos="9860"/>
        </w:tabs>
        <w:rPr>
          <w:rFonts w:asciiTheme="minorHAnsi" w:eastAsiaTheme="minorEastAsia" w:hAnsiTheme="minorHAnsi" w:cstheme="minorBidi"/>
          <w:noProof/>
          <w:sz w:val="24"/>
          <w:szCs w:val="24"/>
          <w:lang w:eastAsia="ja-JP"/>
        </w:rPr>
      </w:pPr>
      <w:r w:rsidRPr="00F11E57">
        <w:rPr>
          <w:rFonts w:ascii="Calibri"/>
          <w:noProof/>
          <w:color w:val="B89207"/>
          <w:lang w:val="en-GB"/>
        </w:rPr>
        <w:t>2.</w:t>
      </w:r>
      <w:r w:rsidRPr="00F11E57">
        <w:rPr>
          <w:rFonts w:asciiTheme="minorHAnsi" w:eastAsiaTheme="minorEastAsia" w:hAnsiTheme="minorHAnsi" w:cstheme="minorBidi"/>
          <w:noProof/>
          <w:sz w:val="24"/>
          <w:szCs w:val="24"/>
          <w:lang w:eastAsia="ja-JP"/>
        </w:rPr>
        <w:tab/>
      </w:r>
      <w:r w:rsidRPr="00F11E57">
        <w:rPr>
          <w:rFonts w:ascii="Calibri"/>
          <w:noProof/>
          <w:color w:val="B89207"/>
          <w:lang w:val="en-GB"/>
        </w:rPr>
        <w:t>LEGAL BASIS</w:t>
      </w:r>
      <w:r w:rsidRPr="00F11E57">
        <w:rPr>
          <w:noProof/>
        </w:rPr>
        <w:tab/>
      </w:r>
      <w:r w:rsidRPr="00F11E57">
        <w:rPr>
          <w:noProof/>
        </w:rPr>
        <w:fldChar w:fldCharType="begin"/>
      </w:r>
      <w:r w:rsidRPr="00F11E57">
        <w:rPr>
          <w:noProof/>
        </w:rPr>
        <w:instrText xml:space="preserve"> PAGEREF _Toc448011176 \h </w:instrText>
      </w:r>
      <w:r w:rsidRPr="00F11E57">
        <w:rPr>
          <w:noProof/>
        </w:rPr>
      </w:r>
      <w:r w:rsidRPr="00F11E57">
        <w:rPr>
          <w:noProof/>
        </w:rPr>
        <w:fldChar w:fldCharType="separate"/>
      </w:r>
      <w:r w:rsidRPr="00F11E57">
        <w:rPr>
          <w:noProof/>
        </w:rPr>
        <w:t>4</w:t>
      </w:r>
      <w:r w:rsidRPr="00F11E57">
        <w:rPr>
          <w:noProof/>
        </w:rPr>
        <w:fldChar w:fldCharType="end"/>
      </w:r>
    </w:p>
    <w:p w14:paraId="11DA55E8" w14:textId="60C83FDA" w:rsidR="0014215F" w:rsidRPr="00F11E57" w:rsidRDefault="0014215F" w:rsidP="0079252B">
      <w:pPr>
        <w:pStyle w:val="TOC1"/>
        <w:tabs>
          <w:tab w:val="left" w:pos="667"/>
          <w:tab w:val="right" w:leader="dot" w:pos="9860"/>
        </w:tabs>
        <w:rPr>
          <w:rFonts w:asciiTheme="minorHAnsi" w:eastAsiaTheme="minorEastAsia" w:hAnsiTheme="minorHAnsi" w:cstheme="minorBidi"/>
          <w:noProof/>
          <w:sz w:val="24"/>
          <w:szCs w:val="24"/>
          <w:lang w:eastAsia="ja-JP"/>
        </w:rPr>
      </w:pPr>
      <w:r w:rsidRPr="00F11E57">
        <w:rPr>
          <w:rFonts w:ascii="Calibri"/>
          <w:noProof/>
          <w:color w:val="B89207"/>
          <w:lang w:val="en-GB"/>
        </w:rPr>
        <w:t>3.</w:t>
      </w:r>
      <w:r w:rsidRPr="00F11E57">
        <w:rPr>
          <w:rFonts w:asciiTheme="minorHAnsi" w:eastAsiaTheme="minorEastAsia" w:hAnsiTheme="minorHAnsi" w:cstheme="minorBidi"/>
          <w:noProof/>
          <w:sz w:val="24"/>
          <w:szCs w:val="24"/>
          <w:lang w:eastAsia="ja-JP"/>
        </w:rPr>
        <w:tab/>
      </w:r>
      <w:r w:rsidRPr="00F11E57">
        <w:rPr>
          <w:rFonts w:ascii="Calibri"/>
          <w:noProof/>
          <w:color w:val="B89207"/>
          <w:lang w:val="en-GB"/>
        </w:rPr>
        <w:t xml:space="preserve">KEY TIMELINES </w:t>
      </w:r>
      <w:r w:rsidR="0079252B" w:rsidRPr="00F11E57">
        <w:rPr>
          <w:rFonts w:ascii="Calibri"/>
          <w:noProof/>
          <w:color w:val="B89207"/>
          <w:lang w:val="en-GB"/>
        </w:rPr>
        <w:t xml:space="preserve"> </w:t>
      </w:r>
      <w:r w:rsidRPr="00F11E57">
        <w:rPr>
          <w:noProof/>
        </w:rPr>
        <w:tab/>
      </w:r>
      <w:r w:rsidRPr="00F11E57">
        <w:rPr>
          <w:noProof/>
        </w:rPr>
        <w:fldChar w:fldCharType="begin"/>
      </w:r>
      <w:r w:rsidRPr="00F11E57">
        <w:rPr>
          <w:noProof/>
        </w:rPr>
        <w:instrText xml:space="preserve"> PAGEREF _Toc448011177 \h </w:instrText>
      </w:r>
      <w:r w:rsidRPr="00F11E57">
        <w:rPr>
          <w:noProof/>
        </w:rPr>
      </w:r>
      <w:r w:rsidRPr="00F11E57">
        <w:rPr>
          <w:noProof/>
        </w:rPr>
        <w:fldChar w:fldCharType="separate"/>
      </w:r>
      <w:r w:rsidRPr="00F11E57">
        <w:rPr>
          <w:noProof/>
        </w:rPr>
        <w:t>5</w:t>
      </w:r>
      <w:r w:rsidRPr="00F11E57">
        <w:rPr>
          <w:noProof/>
        </w:rPr>
        <w:fldChar w:fldCharType="end"/>
      </w:r>
    </w:p>
    <w:p w14:paraId="001E58E9" w14:textId="77777777" w:rsidR="0014215F" w:rsidRPr="00F11E57" w:rsidRDefault="0014215F">
      <w:pPr>
        <w:pStyle w:val="TOC1"/>
        <w:tabs>
          <w:tab w:val="left" w:pos="667"/>
          <w:tab w:val="right" w:leader="dot" w:pos="9860"/>
        </w:tabs>
        <w:rPr>
          <w:rFonts w:asciiTheme="minorHAnsi" w:eastAsiaTheme="minorEastAsia" w:hAnsiTheme="minorHAnsi" w:cstheme="minorBidi"/>
          <w:noProof/>
          <w:sz w:val="24"/>
          <w:szCs w:val="24"/>
          <w:lang w:eastAsia="ja-JP"/>
        </w:rPr>
      </w:pPr>
      <w:r w:rsidRPr="00F11E57">
        <w:rPr>
          <w:rFonts w:ascii="Calibri"/>
          <w:noProof/>
          <w:color w:val="B89207"/>
          <w:lang w:val="en-GB"/>
        </w:rPr>
        <w:t>4.</w:t>
      </w:r>
      <w:r w:rsidRPr="00F11E57">
        <w:rPr>
          <w:rFonts w:asciiTheme="minorHAnsi" w:eastAsiaTheme="minorEastAsia" w:hAnsiTheme="minorHAnsi" w:cstheme="minorBidi"/>
          <w:noProof/>
          <w:sz w:val="24"/>
          <w:szCs w:val="24"/>
          <w:lang w:eastAsia="ja-JP"/>
        </w:rPr>
        <w:tab/>
      </w:r>
      <w:r w:rsidRPr="00F11E57">
        <w:rPr>
          <w:rFonts w:ascii="Calibri"/>
          <w:noProof/>
          <w:color w:val="B89207"/>
          <w:lang w:val="en-GB"/>
        </w:rPr>
        <w:t>CONFIDENTIALITY</w:t>
      </w:r>
      <w:r w:rsidRPr="00F11E57">
        <w:rPr>
          <w:noProof/>
        </w:rPr>
        <w:tab/>
      </w:r>
      <w:r w:rsidRPr="00F11E57">
        <w:rPr>
          <w:noProof/>
        </w:rPr>
        <w:fldChar w:fldCharType="begin"/>
      </w:r>
      <w:r w:rsidRPr="00F11E57">
        <w:rPr>
          <w:noProof/>
        </w:rPr>
        <w:instrText xml:space="preserve"> PAGEREF _Toc448011178 \h </w:instrText>
      </w:r>
      <w:r w:rsidRPr="00F11E57">
        <w:rPr>
          <w:noProof/>
        </w:rPr>
      </w:r>
      <w:r w:rsidRPr="00F11E57">
        <w:rPr>
          <w:noProof/>
        </w:rPr>
        <w:fldChar w:fldCharType="separate"/>
      </w:r>
      <w:r w:rsidRPr="00F11E57">
        <w:rPr>
          <w:noProof/>
        </w:rPr>
        <w:t>6</w:t>
      </w:r>
      <w:r w:rsidRPr="00F11E57">
        <w:rPr>
          <w:noProof/>
        </w:rPr>
        <w:fldChar w:fldCharType="end"/>
      </w:r>
    </w:p>
    <w:p w14:paraId="27459BE4" w14:textId="77777777" w:rsidR="0014215F" w:rsidRPr="00F11E57" w:rsidRDefault="0014215F">
      <w:pPr>
        <w:pStyle w:val="TOC1"/>
        <w:tabs>
          <w:tab w:val="left" w:pos="667"/>
          <w:tab w:val="right" w:leader="dot" w:pos="9860"/>
        </w:tabs>
        <w:rPr>
          <w:rFonts w:asciiTheme="minorHAnsi" w:eastAsiaTheme="minorEastAsia" w:hAnsiTheme="minorHAnsi" w:cstheme="minorBidi"/>
          <w:noProof/>
          <w:sz w:val="24"/>
          <w:szCs w:val="24"/>
          <w:lang w:eastAsia="ja-JP"/>
        </w:rPr>
      </w:pPr>
      <w:r w:rsidRPr="00F11E57">
        <w:rPr>
          <w:rFonts w:ascii="Calibri"/>
          <w:noProof/>
          <w:color w:val="B89207"/>
          <w:lang w:val="en-GB"/>
        </w:rPr>
        <w:t>5.</w:t>
      </w:r>
      <w:r w:rsidRPr="00F11E57">
        <w:rPr>
          <w:rFonts w:asciiTheme="minorHAnsi" w:eastAsiaTheme="minorEastAsia" w:hAnsiTheme="minorHAnsi" w:cstheme="minorBidi"/>
          <w:noProof/>
          <w:sz w:val="24"/>
          <w:szCs w:val="24"/>
          <w:lang w:eastAsia="ja-JP"/>
        </w:rPr>
        <w:tab/>
      </w:r>
      <w:r w:rsidRPr="00F11E57">
        <w:rPr>
          <w:rFonts w:ascii="Calibri"/>
          <w:noProof/>
          <w:color w:val="B89207"/>
          <w:lang w:val="en-GB"/>
        </w:rPr>
        <w:t>CRS OPTIONS</w:t>
      </w:r>
      <w:r w:rsidRPr="00F11E57">
        <w:rPr>
          <w:noProof/>
        </w:rPr>
        <w:tab/>
      </w:r>
      <w:r w:rsidRPr="00F11E57">
        <w:rPr>
          <w:noProof/>
        </w:rPr>
        <w:fldChar w:fldCharType="begin"/>
      </w:r>
      <w:r w:rsidRPr="00F11E57">
        <w:rPr>
          <w:noProof/>
        </w:rPr>
        <w:instrText xml:space="preserve"> PAGEREF _Toc448011179 \h </w:instrText>
      </w:r>
      <w:r w:rsidRPr="00F11E57">
        <w:rPr>
          <w:noProof/>
        </w:rPr>
      </w:r>
      <w:r w:rsidRPr="00F11E57">
        <w:rPr>
          <w:noProof/>
        </w:rPr>
        <w:fldChar w:fldCharType="separate"/>
      </w:r>
      <w:r w:rsidRPr="00F11E57">
        <w:rPr>
          <w:noProof/>
        </w:rPr>
        <w:t>7</w:t>
      </w:r>
      <w:r w:rsidRPr="00F11E57">
        <w:rPr>
          <w:noProof/>
        </w:rPr>
        <w:fldChar w:fldCharType="end"/>
      </w:r>
    </w:p>
    <w:p w14:paraId="347A4AFA" w14:textId="77777777" w:rsidR="0014215F" w:rsidRPr="00F11E57" w:rsidRDefault="0014215F">
      <w:pPr>
        <w:pStyle w:val="TOC2"/>
        <w:tabs>
          <w:tab w:val="left" w:pos="1053"/>
          <w:tab w:val="right" w:leader="dot" w:pos="9860"/>
        </w:tabs>
        <w:rPr>
          <w:rFonts w:asciiTheme="minorHAnsi" w:eastAsiaTheme="minorEastAsia" w:hAnsiTheme="minorHAnsi" w:cstheme="minorBidi"/>
          <w:noProof/>
          <w:sz w:val="24"/>
          <w:szCs w:val="24"/>
          <w:lang w:eastAsia="ja-JP"/>
        </w:rPr>
      </w:pPr>
      <w:r w:rsidRPr="00F11E57">
        <w:rPr>
          <w:noProof/>
          <w:color w:val="B89207"/>
          <w:spacing w:val="-1"/>
          <w:lang w:val="en-GB"/>
        </w:rPr>
        <w:t>5.1</w:t>
      </w:r>
      <w:r w:rsidRPr="00F11E57">
        <w:rPr>
          <w:rFonts w:asciiTheme="minorHAnsi" w:eastAsiaTheme="minorEastAsia" w:hAnsiTheme="minorHAnsi" w:cstheme="minorBidi"/>
          <w:noProof/>
          <w:sz w:val="24"/>
          <w:szCs w:val="24"/>
          <w:lang w:eastAsia="ja-JP"/>
        </w:rPr>
        <w:tab/>
      </w:r>
      <w:r w:rsidRPr="00F11E57">
        <w:rPr>
          <w:noProof/>
          <w:color w:val="B89207"/>
          <w:lang w:val="en-GB"/>
        </w:rPr>
        <w:t>CRS</w:t>
      </w:r>
      <w:r w:rsidRPr="00F11E57">
        <w:rPr>
          <w:noProof/>
          <w:color w:val="B89207"/>
          <w:spacing w:val="-2"/>
          <w:lang w:val="en-GB"/>
        </w:rPr>
        <w:t xml:space="preserve"> </w:t>
      </w:r>
      <w:r w:rsidRPr="00F11E57">
        <w:rPr>
          <w:noProof/>
          <w:color w:val="B89207"/>
          <w:lang w:val="en-GB"/>
        </w:rPr>
        <w:t>Approach</w:t>
      </w:r>
      <w:r w:rsidRPr="00F11E57">
        <w:rPr>
          <w:noProof/>
        </w:rPr>
        <w:tab/>
      </w:r>
      <w:r w:rsidRPr="00F11E57">
        <w:rPr>
          <w:noProof/>
        </w:rPr>
        <w:fldChar w:fldCharType="begin"/>
      </w:r>
      <w:r w:rsidRPr="00F11E57">
        <w:rPr>
          <w:noProof/>
        </w:rPr>
        <w:instrText xml:space="preserve"> PAGEREF _Toc448011180 \h </w:instrText>
      </w:r>
      <w:r w:rsidRPr="00F11E57">
        <w:rPr>
          <w:noProof/>
        </w:rPr>
      </w:r>
      <w:r w:rsidRPr="00F11E57">
        <w:rPr>
          <w:noProof/>
        </w:rPr>
        <w:fldChar w:fldCharType="separate"/>
      </w:r>
      <w:r w:rsidRPr="00F11E57">
        <w:rPr>
          <w:noProof/>
        </w:rPr>
        <w:t>7</w:t>
      </w:r>
      <w:r w:rsidRPr="00F11E57">
        <w:rPr>
          <w:noProof/>
        </w:rPr>
        <w:fldChar w:fldCharType="end"/>
      </w:r>
    </w:p>
    <w:p w14:paraId="529B362E" w14:textId="77777777" w:rsidR="0014215F" w:rsidRPr="00F11E57" w:rsidRDefault="0014215F">
      <w:pPr>
        <w:pStyle w:val="TOC2"/>
        <w:tabs>
          <w:tab w:val="left" w:pos="1053"/>
          <w:tab w:val="right" w:leader="dot" w:pos="9860"/>
        </w:tabs>
        <w:rPr>
          <w:rFonts w:asciiTheme="minorHAnsi" w:eastAsiaTheme="minorEastAsia" w:hAnsiTheme="minorHAnsi" w:cstheme="minorBidi"/>
          <w:noProof/>
          <w:sz w:val="24"/>
          <w:szCs w:val="24"/>
          <w:lang w:eastAsia="ja-JP"/>
        </w:rPr>
      </w:pPr>
      <w:r w:rsidRPr="00F11E57">
        <w:rPr>
          <w:noProof/>
          <w:color w:val="B89207"/>
          <w:spacing w:val="-1"/>
          <w:lang w:val="en-GB"/>
        </w:rPr>
        <w:t>5.2</w:t>
      </w:r>
      <w:r w:rsidRPr="00F11E57">
        <w:rPr>
          <w:rFonts w:asciiTheme="minorHAnsi" w:eastAsiaTheme="minorEastAsia" w:hAnsiTheme="minorHAnsi" w:cstheme="minorBidi"/>
          <w:noProof/>
          <w:sz w:val="24"/>
          <w:szCs w:val="24"/>
          <w:lang w:eastAsia="ja-JP"/>
        </w:rPr>
        <w:tab/>
      </w:r>
      <w:r w:rsidRPr="00F11E57">
        <w:rPr>
          <w:noProof/>
          <w:color w:val="B89207"/>
          <w:lang w:val="en-GB"/>
        </w:rPr>
        <w:t>CRS</w:t>
      </w:r>
      <w:r w:rsidRPr="00F11E57">
        <w:rPr>
          <w:noProof/>
          <w:color w:val="B89207"/>
          <w:spacing w:val="-2"/>
          <w:lang w:val="en-GB"/>
        </w:rPr>
        <w:t xml:space="preserve"> </w:t>
      </w:r>
      <w:r w:rsidRPr="00F11E57">
        <w:rPr>
          <w:noProof/>
          <w:color w:val="B89207"/>
          <w:lang w:val="en-GB"/>
        </w:rPr>
        <w:t>Options</w:t>
      </w:r>
      <w:r w:rsidRPr="00F11E57">
        <w:rPr>
          <w:noProof/>
        </w:rPr>
        <w:tab/>
      </w:r>
      <w:r w:rsidRPr="00F11E57">
        <w:rPr>
          <w:noProof/>
        </w:rPr>
        <w:fldChar w:fldCharType="begin"/>
      </w:r>
      <w:r w:rsidRPr="00F11E57">
        <w:rPr>
          <w:noProof/>
        </w:rPr>
        <w:instrText xml:space="preserve"> PAGEREF _Toc448011181 \h </w:instrText>
      </w:r>
      <w:r w:rsidRPr="00F11E57">
        <w:rPr>
          <w:noProof/>
        </w:rPr>
      </w:r>
      <w:r w:rsidRPr="00F11E57">
        <w:rPr>
          <w:noProof/>
        </w:rPr>
        <w:fldChar w:fldCharType="separate"/>
      </w:r>
      <w:r w:rsidRPr="00F11E57">
        <w:rPr>
          <w:noProof/>
        </w:rPr>
        <w:t>7</w:t>
      </w:r>
      <w:r w:rsidRPr="00F11E57">
        <w:rPr>
          <w:noProof/>
        </w:rPr>
        <w:fldChar w:fldCharType="end"/>
      </w:r>
    </w:p>
    <w:p w14:paraId="277A68FD" w14:textId="77777777" w:rsidR="0014215F" w:rsidRPr="00F11E57" w:rsidRDefault="0014215F">
      <w:pPr>
        <w:pStyle w:val="TOC1"/>
        <w:tabs>
          <w:tab w:val="left" w:pos="667"/>
          <w:tab w:val="right" w:leader="dot" w:pos="9860"/>
        </w:tabs>
        <w:rPr>
          <w:rFonts w:asciiTheme="minorHAnsi" w:eastAsiaTheme="minorEastAsia" w:hAnsiTheme="minorHAnsi" w:cstheme="minorBidi"/>
          <w:noProof/>
          <w:sz w:val="24"/>
          <w:szCs w:val="24"/>
          <w:lang w:eastAsia="ja-JP"/>
        </w:rPr>
      </w:pPr>
      <w:r w:rsidRPr="00F11E57">
        <w:rPr>
          <w:rFonts w:ascii="Calibri"/>
          <w:noProof/>
          <w:color w:val="B89207"/>
          <w:lang w:val="en-GB"/>
        </w:rPr>
        <w:t>6.</w:t>
      </w:r>
      <w:r w:rsidRPr="00F11E57">
        <w:rPr>
          <w:rFonts w:asciiTheme="minorHAnsi" w:eastAsiaTheme="minorEastAsia" w:hAnsiTheme="minorHAnsi" w:cstheme="minorBidi"/>
          <w:noProof/>
          <w:sz w:val="24"/>
          <w:szCs w:val="24"/>
          <w:lang w:eastAsia="ja-JP"/>
        </w:rPr>
        <w:tab/>
      </w:r>
      <w:r w:rsidRPr="00F11E57">
        <w:rPr>
          <w:rFonts w:ascii="Calibri"/>
          <w:noProof/>
          <w:color w:val="B89207"/>
          <w:lang w:val="en-GB"/>
        </w:rPr>
        <w:t>UAE TAX RESIDENCY DEFINITIONS</w:t>
      </w:r>
      <w:r w:rsidRPr="00F11E57">
        <w:rPr>
          <w:noProof/>
        </w:rPr>
        <w:tab/>
      </w:r>
      <w:r w:rsidRPr="00F11E57">
        <w:rPr>
          <w:noProof/>
        </w:rPr>
        <w:fldChar w:fldCharType="begin"/>
      </w:r>
      <w:r w:rsidRPr="00F11E57">
        <w:rPr>
          <w:noProof/>
        </w:rPr>
        <w:instrText xml:space="preserve"> PAGEREF _Toc448011182 \h </w:instrText>
      </w:r>
      <w:r w:rsidRPr="00F11E57">
        <w:rPr>
          <w:noProof/>
        </w:rPr>
      </w:r>
      <w:r w:rsidRPr="00F11E57">
        <w:rPr>
          <w:noProof/>
        </w:rPr>
        <w:fldChar w:fldCharType="separate"/>
      </w:r>
      <w:r w:rsidRPr="00F11E57">
        <w:rPr>
          <w:noProof/>
        </w:rPr>
        <w:t>9</w:t>
      </w:r>
      <w:r w:rsidRPr="00F11E57">
        <w:rPr>
          <w:noProof/>
        </w:rPr>
        <w:fldChar w:fldCharType="end"/>
      </w:r>
    </w:p>
    <w:p w14:paraId="1E1A896E" w14:textId="77777777" w:rsidR="0014215F" w:rsidRPr="00F11E57" w:rsidRDefault="0014215F">
      <w:pPr>
        <w:pStyle w:val="TOC1"/>
        <w:tabs>
          <w:tab w:val="left" w:pos="667"/>
          <w:tab w:val="right" w:leader="dot" w:pos="9860"/>
        </w:tabs>
        <w:rPr>
          <w:rFonts w:asciiTheme="minorHAnsi" w:eastAsiaTheme="minorEastAsia" w:hAnsiTheme="minorHAnsi" w:cstheme="minorBidi"/>
          <w:noProof/>
          <w:sz w:val="24"/>
          <w:szCs w:val="24"/>
          <w:lang w:eastAsia="ja-JP"/>
        </w:rPr>
      </w:pPr>
      <w:r w:rsidRPr="00F11E57">
        <w:rPr>
          <w:rFonts w:ascii="Calibri" w:hAnsi="Calibri"/>
          <w:caps/>
          <w:noProof/>
          <w:color w:val="B89207"/>
          <w:lang w:val="en-GB"/>
        </w:rPr>
        <w:t>7.</w:t>
      </w:r>
      <w:r w:rsidRPr="00F11E57">
        <w:rPr>
          <w:rFonts w:asciiTheme="minorHAnsi" w:eastAsiaTheme="minorEastAsia" w:hAnsiTheme="minorHAnsi" w:cstheme="minorBidi"/>
          <w:noProof/>
          <w:sz w:val="24"/>
          <w:szCs w:val="24"/>
          <w:lang w:eastAsia="ja-JP"/>
        </w:rPr>
        <w:tab/>
      </w:r>
      <w:r w:rsidRPr="00F11E57">
        <w:rPr>
          <w:rFonts w:ascii="Calibri" w:hAnsi="Calibri"/>
          <w:caps/>
          <w:noProof/>
          <w:color w:val="B89207"/>
          <w:lang w:val="en-GB"/>
        </w:rPr>
        <w:t>Sanctions</w:t>
      </w:r>
      <w:r w:rsidRPr="00F11E57">
        <w:rPr>
          <w:noProof/>
        </w:rPr>
        <w:tab/>
      </w:r>
      <w:r w:rsidRPr="00F11E57">
        <w:rPr>
          <w:noProof/>
        </w:rPr>
        <w:fldChar w:fldCharType="begin"/>
      </w:r>
      <w:r w:rsidRPr="00F11E57">
        <w:rPr>
          <w:noProof/>
        </w:rPr>
        <w:instrText xml:space="preserve"> PAGEREF _Toc448011183 \h </w:instrText>
      </w:r>
      <w:r w:rsidRPr="00F11E57">
        <w:rPr>
          <w:noProof/>
        </w:rPr>
      </w:r>
      <w:r w:rsidRPr="00F11E57">
        <w:rPr>
          <w:noProof/>
        </w:rPr>
        <w:fldChar w:fldCharType="separate"/>
      </w:r>
      <w:r w:rsidRPr="00F11E57">
        <w:rPr>
          <w:noProof/>
        </w:rPr>
        <w:t>10</w:t>
      </w:r>
      <w:r w:rsidRPr="00F11E57">
        <w:rPr>
          <w:noProof/>
        </w:rPr>
        <w:fldChar w:fldCharType="end"/>
      </w:r>
    </w:p>
    <w:p w14:paraId="0A48F9BB" w14:textId="5C9345E2" w:rsidR="00CB5F52" w:rsidRPr="00F11E57" w:rsidRDefault="00657B9D" w:rsidP="005557B1">
      <w:pPr>
        <w:pStyle w:val="BodyText"/>
        <w:spacing w:before="1" w:line="274" w:lineRule="auto"/>
        <w:ind w:firstLine="0"/>
        <w:rPr>
          <w:rFonts w:ascii="Lucida Sans Unicode"/>
          <w:sz w:val="26"/>
          <w:lang w:val="en-GB"/>
        </w:rPr>
      </w:pPr>
      <w:r w:rsidRPr="00F11E57">
        <w:rPr>
          <w:rFonts w:ascii="Lucida Sans Unicode" w:eastAsia="Lucida Sans Unicode" w:hAnsi="Lucida Sans Unicode" w:cs="Lucida Sans Unicode"/>
          <w:lang w:val="en-GB"/>
        </w:rPr>
        <w:fldChar w:fldCharType="end"/>
      </w:r>
    </w:p>
    <w:p w14:paraId="5CFCA2FB" w14:textId="45C7FA80" w:rsidR="004F50BA" w:rsidRPr="00F11E57" w:rsidRDefault="004F50BA" w:rsidP="005557B1">
      <w:pPr>
        <w:spacing w:before="1" w:line="274" w:lineRule="auto"/>
        <w:rPr>
          <w:lang w:val="en-GB"/>
        </w:rPr>
      </w:pPr>
    </w:p>
    <w:p w14:paraId="3AFC296A" w14:textId="77777777" w:rsidR="004F50BA" w:rsidRPr="00F11E57" w:rsidRDefault="004F50BA" w:rsidP="005557B1">
      <w:pPr>
        <w:spacing w:before="1" w:line="274" w:lineRule="auto"/>
        <w:rPr>
          <w:lang w:val="en-GB"/>
        </w:rPr>
      </w:pPr>
    </w:p>
    <w:p w14:paraId="46EAC514" w14:textId="77777777" w:rsidR="004F50BA" w:rsidRPr="00F11E57" w:rsidRDefault="004F50BA" w:rsidP="005557B1">
      <w:pPr>
        <w:spacing w:before="1" w:line="274" w:lineRule="auto"/>
        <w:rPr>
          <w:lang w:val="en-GB"/>
        </w:rPr>
      </w:pPr>
    </w:p>
    <w:p w14:paraId="44AC380D" w14:textId="77777777" w:rsidR="004F50BA" w:rsidRPr="00F11E57" w:rsidRDefault="004F50BA" w:rsidP="005557B1">
      <w:pPr>
        <w:spacing w:before="1" w:line="274" w:lineRule="auto"/>
        <w:rPr>
          <w:lang w:val="en-GB"/>
        </w:rPr>
      </w:pPr>
    </w:p>
    <w:p w14:paraId="7CA4DF99" w14:textId="77777777" w:rsidR="004F50BA" w:rsidRPr="00F11E57" w:rsidRDefault="004F50BA" w:rsidP="005557B1">
      <w:pPr>
        <w:spacing w:before="1" w:line="274" w:lineRule="auto"/>
        <w:rPr>
          <w:lang w:val="en-GB"/>
        </w:rPr>
      </w:pPr>
    </w:p>
    <w:p w14:paraId="23E1D146" w14:textId="3C880A05" w:rsidR="004F50BA" w:rsidRPr="00F11E57" w:rsidRDefault="004F50BA" w:rsidP="005557B1">
      <w:pPr>
        <w:tabs>
          <w:tab w:val="left" w:pos="2724"/>
        </w:tabs>
        <w:spacing w:before="1" w:line="274" w:lineRule="auto"/>
        <w:rPr>
          <w:lang w:val="en-GB"/>
        </w:rPr>
      </w:pPr>
      <w:r w:rsidRPr="00F11E57">
        <w:rPr>
          <w:lang w:val="en-GB"/>
        </w:rPr>
        <w:tab/>
      </w:r>
    </w:p>
    <w:p w14:paraId="43E95BDA" w14:textId="6A759767" w:rsidR="004F50BA" w:rsidRPr="00F11E57" w:rsidRDefault="004F50BA" w:rsidP="005557B1">
      <w:pPr>
        <w:spacing w:before="1" w:line="274" w:lineRule="auto"/>
        <w:rPr>
          <w:lang w:val="en-GB"/>
        </w:rPr>
      </w:pPr>
    </w:p>
    <w:p w14:paraId="3C3E491F" w14:textId="77777777" w:rsidR="00AB5574" w:rsidRPr="00F11E57" w:rsidRDefault="00AB5574" w:rsidP="005557B1">
      <w:pPr>
        <w:spacing w:before="1" w:line="274" w:lineRule="auto"/>
        <w:rPr>
          <w:lang w:val="en-GB"/>
        </w:rPr>
        <w:sectPr w:rsidR="00AB5574" w:rsidRPr="00F11E57">
          <w:footerReference w:type="default" r:id="rId13"/>
          <w:pgSz w:w="11910" w:h="16840"/>
          <w:pgMar w:top="1580" w:right="860" w:bottom="1120" w:left="1180" w:header="0" w:footer="928" w:gutter="0"/>
          <w:pgNumType w:start="2"/>
          <w:cols w:space="720"/>
        </w:sectPr>
      </w:pPr>
    </w:p>
    <w:p w14:paraId="63056806" w14:textId="4C7F1810" w:rsidR="00AB5574" w:rsidRPr="00F11E57" w:rsidRDefault="006F79B6" w:rsidP="00641A58">
      <w:pPr>
        <w:pStyle w:val="Heading1"/>
        <w:numPr>
          <w:ilvl w:val="0"/>
          <w:numId w:val="30"/>
        </w:numPr>
        <w:tabs>
          <w:tab w:val="left" w:pos="692"/>
        </w:tabs>
        <w:spacing w:before="1" w:line="274" w:lineRule="auto"/>
        <w:ind w:left="720" w:hanging="450"/>
        <w:rPr>
          <w:rFonts w:ascii="Calibri"/>
          <w:lang w:val="en-GB"/>
        </w:rPr>
      </w:pPr>
      <w:bookmarkStart w:id="2" w:name="_bookmark0"/>
      <w:bookmarkStart w:id="3" w:name="_Toc448011175"/>
      <w:bookmarkEnd w:id="2"/>
      <w:r w:rsidRPr="00F11E57">
        <w:rPr>
          <w:rFonts w:ascii="Calibri"/>
          <w:color w:val="B89207"/>
          <w:lang w:val="en-GB"/>
        </w:rPr>
        <w:lastRenderedPageBreak/>
        <w:t>GENERAL</w:t>
      </w:r>
      <w:r w:rsidRPr="00F11E57">
        <w:rPr>
          <w:rFonts w:ascii="Calibri"/>
          <w:color w:val="B89207"/>
          <w:spacing w:val="-3"/>
          <w:lang w:val="en-GB"/>
        </w:rPr>
        <w:t xml:space="preserve"> </w:t>
      </w:r>
      <w:r w:rsidRPr="00F11E57">
        <w:rPr>
          <w:rFonts w:ascii="Calibri"/>
          <w:color w:val="B89207"/>
          <w:lang w:val="en-GB"/>
        </w:rPr>
        <w:t>INTRODUCTION</w:t>
      </w:r>
      <w:bookmarkEnd w:id="3"/>
    </w:p>
    <w:p w14:paraId="61749D26" w14:textId="78B34978" w:rsidR="00AB5574" w:rsidRPr="00F11E57" w:rsidRDefault="00482BAD" w:rsidP="005557B1">
      <w:pPr>
        <w:pStyle w:val="BodyText"/>
        <w:spacing w:before="1" w:line="274" w:lineRule="auto"/>
        <w:ind w:left="260" w:right="693" w:firstLine="0"/>
        <w:rPr>
          <w:rFonts w:ascii="Lucida Sans Unicode" w:hAnsi="Lucida Sans Unicode"/>
          <w:lang w:val="en-GB"/>
        </w:rPr>
      </w:pPr>
      <w:r w:rsidRPr="00F11E57">
        <w:rPr>
          <w:rFonts w:ascii="Lucida Sans Unicode" w:hAnsi="Lucida Sans Unicode"/>
          <w:lang w:val="en-GB"/>
        </w:rPr>
        <w:t>“</w:t>
      </w:r>
      <w:r w:rsidR="006F79B6" w:rsidRPr="00F11E57">
        <w:rPr>
          <w:rFonts w:ascii="Lucida Sans Unicode" w:hAnsi="Lucida Sans Unicode"/>
          <w:lang w:val="en-GB"/>
        </w:rPr>
        <w:t>The Common Reporting Standard (</w:t>
      </w:r>
      <w:r w:rsidR="006F79B6" w:rsidRPr="00F11E57">
        <w:rPr>
          <w:rFonts w:ascii="Lucida Sans Unicode" w:hAnsi="Lucida Sans Unicode"/>
          <w:b/>
          <w:bCs/>
          <w:lang w:val="en-GB"/>
        </w:rPr>
        <w:t>CRS</w:t>
      </w:r>
      <w:r w:rsidR="006F79B6" w:rsidRPr="00F11E57">
        <w:rPr>
          <w:rFonts w:ascii="Lucida Sans Unicode" w:hAnsi="Lucida Sans Unicode"/>
          <w:lang w:val="en-GB"/>
        </w:rPr>
        <w:t>), developed in response to the G20 request and approved by the OECD Council on 15 July 2014, calls on jurisdictions to obtain information from their financial institutions and automatically exchange that information with other jurisdictions on an annual basis. It sets out the financial account information to be exchanged, the financial institutions required to report, the different types of accounts and taxpayers covered, as well as common due diligence procedures to be followed by financial institutions.</w:t>
      </w:r>
    </w:p>
    <w:p w14:paraId="51BD9505" w14:textId="77777777" w:rsidR="00AB5574" w:rsidRPr="00F11E57" w:rsidRDefault="006F79B6" w:rsidP="005557B1">
      <w:pPr>
        <w:pStyle w:val="BodyText"/>
        <w:spacing w:before="1" w:line="274" w:lineRule="auto"/>
        <w:ind w:left="260" w:firstLine="0"/>
        <w:rPr>
          <w:rFonts w:ascii="Lucida Sans Unicode"/>
          <w:lang w:val="en-GB"/>
        </w:rPr>
      </w:pPr>
      <w:r w:rsidRPr="00F11E57">
        <w:rPr>
          <w:rFonts w:ascii="Lucida Sans Unicode"/>
          <w:lang w:val="en-GB"/>
        </w:rPr>
        <w:t>The Standard consists of the following four key parts:</w:t>
      </w:r>
    </w:p>
    <w:p w14:paraId="710AAEF7" w14:textId="77777777" w:rsidR="00AB5574" w:rsidRPr="00F11E57" w:rsidRDefault="006F79B6" w:rsidP="005557B1">
      <w:pPr>
        <w:pStyle w:val="ListParagraph"/>
        <w:numPr>
          <w:ilvl w:val="0"/>
          <w:numId w:val="1"/>
        </w:numPr>
        <w:tabs>
          <w:tab w:val="left" w:pos="980"/>
          <w:tab w:val="left" w:pos="981"/>
        </w:tabs>
        <w:spacing w:before="1" w:line="274" w:lineRule="auto"/>
        <w:ind w:right="783"/>
        <w:rPr>
          <w:rFonts w:ascii="Lucida Sans Unicode" w:hAnsi="Lucida Sans Unicode"/>
          <w:lang w:val="en-GB"/>
        </w:rPr>
      </w:pPr>
      <w:r w:rsidRPr="00F11E57">
        <w:rPr>
          <w:rFonts w:ascii="Lucida Sans Unicode" w:hAnsi="Lucida Sans Unicode"/>
          <w:lang w:val="en-GB"/>
        </w:rPr>
        <w:t>A model Competent Authority Agreement (</w:t>
      </w:r>
      <w:hyperlink r:id="rId14" w:anchor="d.en.345314">
        <w:r w:rsidRPr="00F11E57">
          <w:rPr>
            <w:rFonts w:ascii="Lucida Sans Unicode" w:hAnsi="Lucida Sans Unicode"/>
            <w:b/>
            <w:bCs/>
            <w:lang w:val="en-GB"/>
          </w:rPr>
          <w:t>CAA</w:t>
        </w:r>
      </w:hyperlink>
      <w:r w:rsidRPr="00F11E57">
        <w:rPr>
          <w:rFonts w:ascii="Lucida Sans Unicode" w:hAnsi="Lucida Sans Unicode"/>
          <w:lang w:val="en-GB"/>
        </w:rPr>
        <w:t xml:space="preserve">), providing the </w:t>
      </w:r>
      <w:hyperlink r:id="rId15" w:anchor="d.en.370900">
        <w:r w:rsidRPr="00F11E57">
          <w:rPr>
            <w:rFonts w:ascii="Lucida Sans Unicode" w:hAnsi="Lucida Sans Unicode"/>
            <w:lang w:val="en-GB"/>
          </w:rPr>
          <w:t>international</w:t>
        </w:r>
      </w:hyperlink>
      <w:hyperlink r:id="rId16" w:anchor="d.en.370900">
        <w:r w:rsidRPr="00F11E57">
          <w:rPr>
            <w:rFonts w:ascii="Lucida Sans Unicode" w:hAnsi="Lucida Sans Unicode"/>
            <w:lang w:val="en-GB"/>
          </w:rPr>
          <w:t xml:space="preserve"> legal framework </w:t>
        </w:r>
      </w:hyperlink>
      <w:r w:rsidRPr="00F11E57">
        <w:rPr>
          <w:rFonts w:ascii="Lucida Sans Unicode" w:hAnsi="Lucida Sans Unicode"/>
          <w:lang w:val="en-GB"/>
        </w:rPr>
        <w:t>for the automatic exchange of CRS</w:t>
      </w:r>
      <w:r w:rsidRPr="00F11E57">
        <w:rPr>
          <w:rFonts w:ascii="Lucida Sans Unicode" w:hAnsi="Lucida Sans Unicode"/>
          <w:spacing w:val="-12"/>
          <w:lang w:val="en-GB"/>
        </w:rPr>
        <w:t xml:space="preserve"> </w:t>
      </w:r>
      <w:r w:rsidRPr="00F11E57">
        <w:rPr>
          <w:rFonts w:ascii="Lucida Sans Unicode" w:hAnsi="Lucida Sans Unicode"/>
          <w:lang w:val="en-GB"/>
        </w:rPr>
        <w:t>information;</w:t>
      </w:r>
    </w:p>
    <w:p w14:paraId="41E724E1" w14:textId="76B92452" w:rsidR="00AB5574" w:rsidRPr="00F11E57" w:rsidRDefault="006F79B6" w:rsidP="005666DE">
      <w:pPr>
        <w:pStyle w:val="ListParagraph"/>
        <w:numPr>
          <w:ilvl w:val="0"/>
          <w:numId w:val="1"/>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 xml:space="preserve">The </w:t>
      </w:r>
      <w:hyperlink r:id="rId17">
        <w:r w:rsidRPr="00F11E57">
          <w:rPr>
            <w:rFonts w:ascii="Lucida Sans Unicode" w:hAnsi="Lucida Sans Unicode"/>
            <w:lang w:val="en-GB"/>
          </w:rPr>
          <w:t>Common Reporting</w:t>
        </w:r>
        <w:r w:rsidRPr="00F11E57">
          <w:rPr>
            <w:rFonts w:ascii="Lucida Sans Unicode" w:hAnsi="Lucida Sans Unicode"/>
            <w:spacing w:val="-3"/>
            <w:lang w:val="en-GB"/>
          </w:rPr>
          <w:t xml:space="preserve"> </w:t>
        </w:r>
        <w:r w:rsidRPr="00F11E57">
          <w:rPr>
            <w:rFonts w:ascii="Lucida Sans Unicode" w:hAnsi="Lucida Sans Unicode"/>
            <w:lang w:val="en-GB"/>
          </w:rPr>
          <w:t>Standard</w:t>
        </w:r>
      </w:hyperlink>
      <w:r w:rsidRPr="00F11E57">
        <w:rPr>
          <w:rFonts w:ascii="Lucida Sans Unicode" w:hAnsi="Lucida Sans Unicode"/>
          <w:lang w:val="en-GB"/>
        </w:rPr>
        <w:t>;</w:t>
      </w:r>
    </w:p>
    <w:p w14:paraId="5B7E9BFC" w14:textId="77777777" w:rsidR="00AB5574" w:rsidRPr="00F11E57" w:rsidRDefault="006F79B6" w:rsidP="005557B1">
      <w:pPr>
        <w:pStyle w:val="ListParagraph"/>
        <w:numPr>
          <w:ilvl w:val="0"/>
          <w:numId w:val="1"/>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 xml:space="preserve">The </w:t>
      </w:r>
      <w:hyperlink r:id="rId18" w:anchor="d.en.345314">
        <w:r w:rsidRPr="00F11E57">
          <w:rPr>
            <w:rFonts w:ascii="Lucida Sans Unicode" w:hAnsi="Lucida Sans Unicode"/>
            <w:lang w:val="en-GB"/>
          </w:rPr>
          <w:t xml:space="preserve">Commentaries </w:t>
        </w:r>
      </w:hyperlink>
      <w:r w:rsidRPr="00F11E57">
        <w:rPr>
          <w:rFonts w:ascii="Lucida Sans Unicode" w:hAnsi="Lucida Sans Unicode"/>
          <w:lang w:val="en-GB"/>
        </w:rPr>
        <w:t>on the CAA and the CRS;</w:t>
      </w:r>
      <w:r w:rsidRPr="00F11E57">
        <w:rPr>
          <w:rFonts w:ascii="Lucida Sans Unicode" w:hAnsi="Lucida Sans Unicode"/>
          <w:spacing w:val="-14"/>
          <w:lang w:val="en-GB"/>
        </w:rPr>
        <w:t xml:space="preserve"> </w:t>
      </w:r>
      <w:r w:rsidRPr="00F11E57">
        <w:rPr>
          <w:rFonts w:ascii="Lucida Sans Unicode" w:hAnsi="Lucida Sans Unicode"/>
          <w:lang w:val="en-GB"/>
        </w:rPr>
        <w:t>and</w:t>
      </w:r>
    </w:p>
    <w:p w14:paraId="233300FE" w14:textId="220F97A3" w:rsidR="00AB5574" w:rsidRPr="00F11E57" w:rsidRDefault="006F79B6" w:rsidP="005557B1">
      <w:pPr>
        <w:pStyle w:val="ListParagraph"/>
        <w:numPr>
          <w:ilvl w:val="0"/>
          <w:numId w:val="1"/>
        </w:numPr>
        <w:tabs>
          <w:tab w:val="left" w:pos="980"/>
          <w:tab w:val="left" w:pos="981"/>
        </w:tabs>
        <w:spacing w:before="1" w:line="274" w:lineRule="auto"/>
        <w:rPr>
          <w:sz w:val="16"/>
          <w:lang w:val="en-GB"/>
        </w:rPr>
      </w:pPr>
      <w:r w:rsidRPr="00F11E57">
        <w:rPr>
          <w:rFonts w:ascii="Lucida Sans Unicode" w:hAnsi="Lucida Sans Unicode"/>
          <w:lang w:val="en-GB"/>
        </w:rPr>
        <w:t xml:space="preserve">The </w:t>
      </w:r>
      <w:hyperlink r:id="rId19" w:anchor="d.en.345315">
        <w:r w:rsidRPr="00F11E57">
          <w:rPr>
            <w:rFonts w:ascii="Lucida Sans Unicode" w:hAnsi="Lucida Sans Unicode"/>
            <w:lang w:val="en-GB"/>
          </w:rPr>
          <w:t xml:space="preserve">CRS XML Schema </w:t>
        </w:r>
      </w:hyperlink>
      <w:r w:rsidRPr="00F11E57">
        <w:rPr>
          <w:rFonts w:ascii="Lucida Sans Unicode" w:hAnsi="Lucida Sans Unicode"/>
          <w:lang w:val="en-GB"/>
        </w:rPr>
        <w:t>User</w:t>
      </w:r>
      <w:r w:rsidRPr="00F11E57">
        <w:rPr>
          <w:rFonts w:ascii="Lucida Sans Unicode" w:hAnsi="Lucida Sans Unicode"/>
          <w:spacing w:val="-9"/>
          <w:lang w:val="en-GB"/>
        </w:rPr>
        <w:t xml:space="preserve"> </w:t>
      </w:r>
      <w:r w:rsidRPr="00F11E57">
        <w:rPr>
          <w:rFonts w:ascii="Lucida Sans Unicode" w:hAnsi="Lucida Sans Unicode"/>
          <w:lang w:val="en-GB"/>
        </w:rPr>
        <w:t>Guide.”</w:t>
      </w:r>
      <w:r w:rsidR="00BB60E4" w:rsidRPr="00F11E57">
        <w:rPr>
          <w:rStyle w:val="FootnoteReference"/>
          <w:rFonts w:ascii="Lucida Sans Unicode" w:hAnsi="Lucida Sans Unicode"/>
          <w:lang w:val="en-GB"/>
        </w:rPr>
        <w:footnoteReference w:id="2"/>
      </w:r>
    </w:p>
    <w:p w14:paraId="76B9E012" w14:textId="117474BA" w:rsidR="00AB5574" w:rsidRPr="00F11E57" w:rsidRDefault="006F79B6" w:rsidP="005557B1">
      <w:pPr>
        <w:spacing w:before="1" w:line="274" w:lineRule="auto"/>
        <w:ind w:left="260" w:right="773"/>
        <w:rPr>
          <w:rFonts w:ascii="Lucida Sans Unicode"/>
          <w:b/>
          <w:lang w:val="en-GB"/>
        </w:rPr>
      </w:pPr>
      <w:r w:rsidRPr="00F11E57">
        <w:rPr>
          <w:rFonts w:ascii="Lucida Sans Unicode"/>
          <w:b/>
          <w:lang w:val="en-GB"/>
        </w:rPr>
        <w:t>For the purposes of the UAE CRS Regulations, the Common Reporting Standard Commentary</w:t>
      </w:r>
      <w:r w:rsidR="0012553B" w:rsidRPr="00F11E57">
        <w:rPr>
          <w:rFonts w:ascii="Lucida Sans Unicode"/>
          <w:b/>
          <w:lang w:val="en-GB"/>
        </w:rPr>
        <w:t xml:space="preserve"> and FAQs</w:t>
      </w:r>
      <w:r w:rsidRPr="00F11E57">
        <w:rPr>
          <w:rFonts w:ascii="Lucida Sans Unicode"/>
          <w:b/>
          <w:lang w:val="en-GB"/>
        </w:rPr>
        <w:t>, which is any explanatory material made and published by the Organization for Economic Co-Operation and Development</w:t>
      </w:r>
      <w:r w:rsidR="00C84764" w:rsidRPr="00F11E57">
        <w:rPr>
          <w:rFonts w:ascii="Lucida Sans Unicode"/>
          <w:b/>
          <w:lang w:val="en-GB"/>
        </w:rPr>
        <w:t xml:space="preserve"> (OECD)</w:t>
      </w:r>
      <w:r w:rsidRPr="00F11E57">
        <w:rPr>
          <w:rFonts w:ascii="Lucida Sans Unicode"/>
          <w:b/>
          <w:lang w:val="en-GB"/>
        </w:rPr>
        <w:t xml:space="preserve"> for the purpose of assisting with the interpretation of the Common Reporting Standard, is an integral part of the Common Reporting Standard and accordingly applies for the purposes of the automatic exchange of financial account information.</w:t>
      </w:r>
    </w:p>
    <w:p w14:paraId="53D5FD89" w14:textId="587BEBD1" w:rsidR="00AB5574" w:rsidRPr="00F11E57" w:rsidRDefault="006F79B6" w:rsidP="005557B1">
      <w:pPr>
        <w:pStyle w:val="BodyText"/>
        <w:spacing w:before="1" w:line="274" w:lineRule="auto"/>
        <w:ind w:left="260" w:right="930" w:firstLine="0"/>
        <w:rPr>
          <w:rFonts w:ascii="Lucida Sans Unicode"/>
          <w:lang w:val="en-GB"/>
        </w:rPr>
      </w:pPr>
      <w:r w:rsidRPr="00F11E57">
        <w:rPr>
          <w:rFonts w:ascii="Lucida Sans Unicode"/>
          <w:lang w:val="en-GB"/>
        </w:rPr>
        <w:t xml:space="preserve">The UAE Financial Institutions should consult documentation </w:t>
      </w:r>
      <w:r w:rsidR="00C84764" w:rsidRPr="00F11E57">
        <w:rPr>
          <w:rFonts w:ascii="Lucida Sans Unicode"/>
          <w:lang w:val="en-GB"/>
        </w:rPr>
        <w:t>issued</w:t>
      </w:r>
      <w:r w:rsidR="00732E9B" w:rsidRPr="00F11E57">
        <w:rPr>
          <w:rFonts w:ascii="Lucida Sans Unicode"/>
          <w:lang w:val="en-GB"/>
        </w:rPr>
        <w:t>, from time to time,</w:t>
      </w:r>
      <w:r w:rsidR="00C84764" w:rsidRPr="00F11E57">
        <w:rPr>
          <w:rFonts w:ascii="Lucida Sans Unicode"/>
          <w:lang w:val="en-GB"/>
        </w:rPr>
        <w:t xml:space="preserve"> by the OECD for </w:t>
      </w:r>
      <w:r w:rsidRPr="00F11E57">
        <w:rPr>
          <w:rFonts w:ascii="Lucida Sans Unicode"/>
          <w:lang w:val="en-GB"/>
        </w:rPr>
        <w:t xml:space="preserve">clarification and </w:t>
      </w:r>
      <w:r w:rsidR="00C84764" w:rsidRPr="00F11E57">
        <w:rPr>
          <w:rFonts w:ascii="Lucida Sans Unicode"/>
          <w:lang w:val="en-GB"/>
        </w:rPr>
        <w:t xml:space="preserve">the </w:t>
      </w:r>
      <w:r w:rsidRPr="00F11E57">
        <w:rPr>
          <w:rFonts w:ascii="Lucida Sans Unicode"/>
          <w:lang w:val="en-GB"/>
        </w:rPr>
        <w:t>CRS commentary</w:t>
      </w:r>
      <w:r w:rsidR="00362DDA" w:rsidRPr="00F11E57">
        <w:rPr>
          <w:rFonts w:ascii="Lucida Sans Unicode"/>
          <w:lang w:val="en-GB"/>
        </w:rPr>
        <w:t xml:space="preserve"> and FAQs</w:t>
      </w:r>
      <w:r w:rsidR="00732E9B" w:rsidRPr="00F11E57">
        <w:rPr>
          <w:rFonts w:ascii="Lucida Sans Unicode"/>
          <w:lang w:val="en-GB"/>
        </w:rPr>
        <w:t>, for example</w:t>
      </w:r>
      <w:r w:rsidRPr="00F11E57">
        <w:rPr>
          <w:rFonts w:ascii="Lucida Sans Unicode"/>
          <w:lang w:val="en-GB"/>
        </w:rPr>
        <w:t>:</w:t>
      </w:r>
    </w:p>
    <w:p w14:paraId="536C594B" w14:textId="77777777" w:rsidR="00AB5574" w:rsidRPr="00F11E57" w:rsidRDefault="006F79B6" w:rsidP="005557B1">
      <w:pPr>
        <w:pStyle w:val="ListParagraph"/>
        <w:numPr>
          <w:ilvl w:val="0"/>
          <w:numId w:val="1"/>
        </w:numPr>
        <w:tabs>
          <w:tab w:val="left" w:pos="980"/>
          <w:tab w:val="left" w:pos="981"/>
        </w:tabs>
        <w:spacing w:before="1" w:line="274" w:lineRule="auto"/>
        <w:ind w:right="1024"/>
        <w:rPr>
          <w:rFonts w:ascii="Lucida Sans Unicode" w:hAnsi="Lucida Sans Unicode"/>
          <w:lang w:val="en-GB"/>
        </w:rPr>
      </w:pPr>
      <w:r w:rsidRPr="00F11E57">
        <w:rPr>
          <w:rFonts w:ascii="Lucida Sans Unicode" w:hAnsi="Lucida Sans Unicode"/>
          <w:lang w:val="en-GB"/>
        </w:rPr>
        <w:t>Standard for Automatic Exchange of Financial Account Information in Tax Matters</w:t>
      </w:r>
    </w:p>
    <w:p w14:paraId="7EAA7AFE" w14:textId="77777777" w:rsidR="00AB5574" w:rsidRPr="00F11E57" w:rsidRDefault="006F79B6" w:rsidP="005557B1">
      <w:pPr>
        <w:pStyle w:val="ListParagraph"/>
        <w:numPr>
          <w:ilvl w:val="0"/>
          <w:numId w:val="1"/>
        </w:numPr>
        <w:tabs>
          <w:tab w:val="left" w:pos="980"/>
          <w:tab w:val="left" w:pos="981"/>
        </w:tabs>
        <w:spacing w:before="1" w:line="274" w:lineRule="auto"/>
        <w:ind w:right="1022"/>
        <w:rPr>
          <w:rFonts w:ascii="Lucida Sans Unicode" w:hAnsi="Lucida Sans Unicode"/>
          <w:lang w:val="en-GB"/>
        </w:rPr>
      </w:pPr>
      <w:r w:rsidRPr="00F11E57">
        <w:rPr>
          <w:rFonts w:ascii="Lucida Sans Unicode" w:hAnsi="Lucida Sans Unicode"/>
          <w:lang w:val="en-GB"/>
        </w:rPr>
        <w:t>Standard for Automatic Exchange of Financial Account Information in Tax Matters - Implementation</w:t>
      </w:r>
      <w:r w:rsidRPr="00F11E57">
        <w:rPr>
          <w:rFonts w:ascii="Lucida Sans Unicode" w:hAnsi="Lucida Sans Unicode"/>
          <w:spacing w:val="-5"/>
          <w:lang w:val="en-GB"/>
        </w:rPr>
        <w:t xml:space="preserve"> </w:t>
      </w:r>
      <w:r w:rsidRPr="00F11E57">
        <w:rPr>
          <w:rFonts w:ascii="Lucida Sans Unicode" w:hAnsi="Lucida Sans Unicode"/>
          <w:lang w:val="en-GB"/>
        </w:rPr>
        <w:t>Handbook</w:t>
      </w:r>
    </w:p>
    <w:p w14:paraId="6D3D5FED" w14:textId="77777777" w:rsidR="00AB5574" w:rsidRPr="00F11E57" w:rsidRDefault="006F79B6" w:rsidP="005557B1">
      <w:pPr>
        <w:pStyle w:val="ListParagraph"/>
        <w:numPr>
          <w:ilvl w:val="0"/>
          <w:numId w:val="1"/>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CRS</w:t>
      </w:r>
      <w:r w:rsidRPr="00F11E57">
        <w:rPr>
          <w:rFonts w:ascii="Lucida Sans Unicode" w:hAnsi="Lucida Sans Unicode"/>
          <w:spacing w:val="-1"/>
          <w:lang w:val="en-GB"/>
        </w:rPr>
        <w:t xml:space="preserve"> </w:t>
      </w:r>
      <w:r w:rsidRPr="00F11E57">
        <w:rPr>
          <w:rFonts w:ascii="Lucida Sans Unicode" w:hAnsi="Lucida Sans Unicode"/>
          <w:lang w:val="en-GB"/>
        </w:rPr>
        <w:t>FAQs.</w:t>
      </w:r>
    </w:p>
    <w:p w14:paraId="3B5A608F" w14:textId="526AFB67" w:rsidR="00732E9B" w:rsidRPr="00F11E57" w:rsidRDefault="006F79B6" w:rsidP="006C4AF5">
      <w:pPr>
        <w:pStyle w:val="BodyText"/>
        <w:spacing w:before="1" w:line="274" w:lineRule="auto"/>
        <w:ind w:left="260" w:right="1207" w:firstLine="0"/>
        <w:rPr>
          <w:rFonts w:ascii="Lucida Sans Unicode"/>
          <w:lang w:val="en-GB"/>
        </w:rPr>
      </w:pPr>
      <w:r w:rsidRPr="00F11E57">
        <w:rPr>
          <w:rFonts w:ascii="Lucida Sans Unicode"/>
          <w:lang w:val="en-GB"/>
        </w:rPr>
        <w:t>The above docum</w:t>
      </w:r>
      <w:r w:rsidR="00C84764" w:rsidRPr="00F11E57">
        <w:rPr>
          <w:rFonts w:ascii="Lucida Sans Unicode"/>
          <w:lang w:val="en-GB"/>
        </w:rPr>
        <w:t>ents are published on the OECD w</w:t>
      </w:r>
      <w:r w:rsidRPr="00F11E57">
        <w:rPr>
          <w:rFonts w:ascii="Lucida Sans Unicode"/>
          <w:lang w:val="en-GB"/>
        </w:rPr>
        <w:t xml:space="preserve">ebsite: </w:t>
      </w:r>
      <w:r w:rsidRPr="00F11E57">
        <w:rPr>
          <w:rFonts w:ascii="Lucida Sans Unicode"/>
          <w:color w:val="0000FF"/>
          <w:u w:val="single" w:color="0000FF"/>
          <w:lang w:val="en-GB"/>
        </w:rPr>
        <w:t>http://www.oecd.org/tax/automatic-exchange/common-reporting-standard/</w:t>
      </w:r>
      <w:r w:rsidR="00732E9B" w:rsidRPr="00F11E57">
        <w:rPr>
          <w:rFonts w:ascii="Lucida Sans Unicode"/>
          <w:color w:val="0000FF"/>
          <w:u w:val="single" w:color="0000FF"/>
          <w:lang w:val="en-GB"/>
        </w:rPr>
        <w:t xml:space="preserve"> </w:t>
      </w:r>
      <w:r w:rsidR="00732E9B" w:rsidRPr="00F11E57">
        <w:rPr>
          <w:rFonts w:ascii="Lucida Sans Unicode"/>
          <w:lang w:val="en-GB"/>
        </w:rPr>
        <w:t xml:space="preserve">and </w:t>
      </w:r>
      <w:r w:rsidR="00732E9B" w:rsidRPr="00F11E57">
        <w:rPr>
          <w:rFonts w:ascii="Lucida Sans Unicode"/>
          <w:color w:val="0000FF"/>
          <w:u w:val="single" w:color="0000FF"/>
          <w:lang w:val="en-GB"/>
        </w:rPr>
        <w:t>https://www.oecd.org/tax/exchange-of-tax-information/</w:t>
      </w:r>
      <w:r w:rsidR="00732E9B" w:rsidRPr="00F11E57">
        <w:rPr>
          <w:rFonts w:ascii="Lucida Sans Unicode"/>
          <w:color w:val="000000" w:themeColor="text1"/>
          <w:lang w:val="en-GB"/>
        </w:rPr>
        <w:t>.</w:t>
      </w:r>
      <w:bookmarkStart w:id="4" w:name="_bookmark1"/>
      <w:bookmarkEnd w:id="4"/>
    </w:p>
    <w:p w14:paraId="2D5158CE" w14:textId="0A781215" w:rsidR="00AB5574" w:rsidRPr="00F11E57" w:rsidRDefault="006F79B6" w:rsidP="00641A58">
      <w:pPr>
        <w:pStyle w:val="Heading1"/>
        <w:numPr>
          <w:ilvl w:val="0"/>
          <w:numId w:val="30"/>
        </w:numPr>
        <w:spacing w:before="1" w:line="274" w:lineRule="auto"/>
        <w:ind w:left="720" w:hanging="450"/>
        <w:rPr>
          <w:rFonts w:ascii="Calibri"/>
          <w:color w:val="B89207"/>
          <w:lang w:val="en-GB"/>
        </w:rPr>
      </w:pPr>
      <w:bookmarkStart w:id="5" w:name="_Toc448011176"/>
      <w:r w:rsidRPr="00F11E57">
        <w:rPr>
          <w:rFonts w:ascii="Calibri"/>
          <w:color w:val="B89207"/>
          <w:lang w:val="en-GB"/>
        </w:rPr>
        <w:t>LEGAL BASIS</w:t>
      </w:r>
      <w:bookmarkEnd w:id="5"/>
    </w:p>
    <w:p w14:paraId="24C8A630" w14:textId="42C04016" w:rsidR="00AB5574" w:rsidRPr="00F11E57" w:rsidRDefault="006F79B6" w:rsidP="00103976">
      <w:pPr>
        <w:pStyle w:val="BodyText"/>
        <w:spacing w:before="1" w:line="274" w:lineRule="auto"/>
        <w:ind w:left="260" w:right="953" w:firstLine="0"/>
        <w:rPr>
          <w:rFonts w:ascii="Lucida Sans Unicode"/>
          <w:lang w:val="en-GB"/>
        </w:rPr>
      </w:pPr>
      <w:r w:rsidRPr="00F11E57">
        <w:rPr>
          <w:rFonts w:ascii="Lucida Sans Unicode"/>
          <w:lang w:val="en-GB"/>
        </w:rPr>
        <w:lastRenderedPageBreak/>
        <w:t xml:space="preserve">In accordance with the Cabinet </w:t>
      </w:r>
      <w:r w:rsidR="00103976" w:rsidRPr="00F11E57">
        <w:rPr>
          <w:rFonts w:ascii="Lucida Sans Unicode"/>
          <w:lang w:val="en-GB"/>
        </w:rPr>
        <w:t>Decision</w:t>
      </w:r>
      <w:r w:rsidRPr="00F11E57">
        <w:rPr>
          <w:rFonts w:ascii="Lucida Sans Unicode"/>
          <w:lang w:val="en-GB"/>
        </w:rPr>
        <w:t xml:space="preserve"> Number </w:t>
      </w:r>
      <w:r w:rsidR="008503FC" w:rsidRPr="00F11E57">
        <w:rPr>
          <w:rFonts w:ascii="Lucida Sans Unicode"/>
          <w:lang w:val="en-GB"/>
        </w:rPr>
        <w:t>16</w:t>
      </w:r>
      <w:r w:rsidR="00103976" w:rsidRPr="00F11E57">
        <w:rPr>
          <w:rFonts w:ascii="Lucida Sans Unicode"/>
          <w:lang w:val="en-GB"/>
        </w:rPr>
        <w:t>/9W</w:t>
      </w:r>
      <w:r w:rsidRPr="00F11E57">
        <w:rPr>
          <w:rFonts w:ascii="Lucida Sans Unicode"/>
          <w:lang w:val="en-GB"/>
        </w:rPr>
        <w:t xml:space="preserve"> of year 2016</w:t>
      </w:r>
      <w:r w:rsidR="005164B5" w:rsidRPr="00F11E57">
        <w:rPr>
          <w:rFonts w:ascii="Lucida Sans Unicode"/>
          <w:lang w:val="en-GB"/>
        </w:rPr>
        <w:t>, the UAE Government had</w:t>
      </w:r>
      <w:r w:rsidRPr="00F11E57">
        <w:rPr>
          <w:rFonts w:ascii="Lucida Sans Unicode"/>
          <w:lang w:val="en-GB"/>
        </w:rPr>
        <w:t xml:space="preserve"> committed</w:t>
      </w:r>
      <w:r w:rsidR="008503FC" w:rsidRPr="00F11E57">
        <w:rPr>
          <w:rFonts w:ascii="Lucida Sans Unicode"/>
          <w:lang w:val="en-GB"/>
        </w:rPr>
        <w:t xml:space="preserve"> itself</w:t>
      </w:r>
      <w:r w:rsidRPr="00F11E57">
        <w:rPr>
          <w:rFonts w:ascii="Lucida Sans Unicode"/>
          <w:lang w:val="en-GB"/>
        </w:rPr>
        <w:t xml:space="preserve"> to sign </w:t>
      </w:r>
      <w:r w:rsidR="005164B5" w:rsidRPr="00F11E57">
        <w:rPr>
          <w:rFonts w:ascii="Lucida Sans Unicode"/>
          <w:lang w:val="en-GB"/>
        </w:rPr>
        <w:t>(i) the</w:t>
      </w:r>
      <w:r w:rsidRPr="00F11E57">
        <w:rPr>
          <w:rFonts w:ascii="Lucida Sans Unicode"/>
          <w:lang w:val="en-GB"/>
        </w:rPr>
        <w:t xml:space="preserve"> Multilateral Convention on Mutual Administrative Assistance in Tax Matters (</w:t>
      </w:r>
      <w:r w:rsidRPr="00F11E57">
        <w:rPr>
          <w:rFonts w:ascii="Lucida Sans Unicode"/>
          <w:b/>
          <w:bCs/>
          <w:lang w:val="en-GB"/>
        </w:rPr>
        <w:t>MAC</w:t>
      </w:r>
      <w:r w:rsidRPr="00F11E57">
        <w:rPr>
          <w:rFonts w:ascii="Lucida Sans Unicode"/>
          <w:lang w:val="en-GB"/>
        </w:rPr>
        <w:t xml:space="preserve">) and </w:t>
      </w:r>
      <w:r w:rsidR="005164B5" w:rsidRPr="00F11E57">
        <w:rPr>
          <w:rFonts w:ascii="Lucida Sans Unicode"/>
          <w:lang w:val="en-GB"/>
        </w:rPr>
        <w:t xml:space="preserve">(ii) the </w:t>
      </w:r>
      <w:r w:rsidRPr="00F11E57">
        <w:rPr>
          <w:rFonts w:ascii="Lucida Sans Unicode"/>
          <w:lang w:val="en-GB"/>
        </w:rPr>
        <w:t>Multilateral Competent Authority Agreement on Automatic Exchange of Financial Account Information (</w:t>
      </w:r>
      <w:r w:rsidRPr="00F11E57">
        <w:rPr>
          <w:rFonts w:ascii="Lucida Sans Unicode"/>
          <w:b/>
          <w:bCs/>
          <w:lang w:val="en-GB"/>
        </w:rPr>
        <w:t>MCAA</w:t>
      </w:r>
      <w:r w:rsidRPr="00F11E57">
        <w:rPr>
          <w:rFonts w:ascii="Lucida Sans Unicode"/>
          <w:lang w:val="en-GB"/>
        </w:rPr>
        <w:t xml:space="preserve">). </w:t>
      </w:r>
      <w:r w:rsidR="007102E5" w:rsidRPr="00F11E57">
        <w:rPr>
          <w:rFonts w:ascii="Lucida Sans Unicode"/>
          <w:lang w:val="en-GB"/>
        </w:rPr>
        <w:t xml:space="preserve">The MAC was ratified </w:t>
      </w:r>
      <w:r w:rsidR="00BB08BC" w:rsidRPr="00F11E57">
        <w:rPr>
          <w:rFonts w:ascii="Lucida Sans Unicode"/>
          <w:lang w:val="en-GB"/>
        </w:rPr>
        <w:t xml:space="preserve">according to </w:t>
      </w:r>
      <w:r w:rsidR="008503FC" w:rsidRPr="00F11E57">
        <w:rPr>
          <w:rFonts w:ascii="Lucida Sans Unicode"/>
          <w:lang w:val="en-GB"/>
        </w:rPr>
        <w:t>Federal Law No. 54 of 2018</w:t>
      </w:r>
      <w:r w:rsidR="00BB08BC" w:rsidRPr="00F11E57">
        <w:rPr>
          <w:rFonts w:ascii="Lucida Sans Unicode"/>
          <w:lang w:val="en-GB"/>
        </w:rPr>
        <w:t xml:space="preserve"> and the</w:t>
      </w:r>
      <w:r w:rsidR="007102E5" w:rsidRPr="00F11E57">
        <w:rPr>
          <w:rFonts w:ascii="Lucida Sans Unicode"/>
          <w:lang w:val="en-GB"/>
        </w:rPr>
        <w:t xml:space="preserve"> MCAA </w:t>
      </w:r>
      <w:r w:rsidR="00BB08BC" w:rsidRPr="00F11E57">
        <w:rPr>
          <w:rFonts w:ascii="Lucida Sans Unicode"/>
          <w:lang w:val="en-GB"/>
        </w:rPr>
        <w:t>according to</w:t>
      </w:r>
      <w:r w:rsidR="007102E5" w:rsidRPr="00F11E57">
        <w:rPr>
          <w:rFonts w:ascii="Lucida Sans Unicode"/>
          <w:lang w:val="en-GB"/>
        </w:rPr>
        <w:t xml:space="preserve"> Federal Law No. 48 of 2018. </w:t>
      </w:r>
      <w:r w:rsidRPr="00F11E57">
        <w:rPr>
          <w:rFonts w:ascii="Lucida Sans Unicode"/>
          <w:lang w:val="en-GB"/>
        </w:rPr>
        <w:t>The MCAA contains the rules on the exchange of information between the UAE Competent Authority and partner jurisdiction Competent Authorities. The confidentiality, safeguards and the existence of the necessary infrastructure for an effective exchange are all covered by the MCAA.</w:t>
      </w:r>
    </w:p>
    <w:p w14:paraId="409C40A0" w14:textId="1902DFE9" w:rsidR="00AB5574" w:rsidRPr="00F11E57" w:rsidRDefault="00C84764" w:rsidP="005557B1">
      <w:pPr>
        <w:pStyle w:val="BodyText"/>
        <w:spacing w:before="1" w:line="274" w:lineRule="auto"/>
        <w:ind w:left="260" w:right="634" w:firstLine="0"/>
        <w:rPr>
          <w:rFonts w:ascii="Lucida Sans Unicode"/>
          <w:lang w:val="en-GB"/>
        </w:rPr>
      </w:pPr>
      <w:r w:rsidRPr="00F11E57">
        <w:rPr>
          <w:rFonts w:ascii="Lucida Sans Unicode"/>
          <w:lang w:val="en-GB"/>
        </w:rPr>
        <w:t>B</w:t>
      </w:r>
      <w:r w:rsidR="006F79B6" w:rsidRPr="00F11E57">
        <w:rPr>
          <w:rFonts w:ascii="Lucida Sans Unicode"/>
          <w:lang w:val="en-GB"/>
        </w:rPr>
        <w:t>oth agreements are legal instruments for the implementation of the international OECD standard of Automatic Exchange of Information (AEOI) - CRS for tax purposes.</w:t>
      </w:r>
    </w:p>
    <w:p w14:paraId="45681503" w14:textId="25CF5EFB" w:rsidR="00AB5574" w:rsidRPr="00F11E57" w:rsidRDefault="00BF5A5B" w:rsidP="00B746A7">
      <w:pPr>
        <w:pStyle w:val="BodyText"/>
        <w:spacing w:before="1" w:line="274" w:lineRule="auto"/>
        <w:ind w:left="260" w:right="1618" w:firstLine="0"/>
        <w:rPr>
          <w:rFonts w:ascii="Lucida Sans Unicode" w:hAnsi="Lucida Sans Unicode"/>
          <w:lang w:val="en-GB"/>
        </w:rPr>
      </w:pPr>
      <w:r w:rsidRPr="00F11E57">
        <w:rPr>
          <w:rFonts w:ascii="Lucida Sans Unicode" w:hAnsi="Lucida Sans Unicode"/>
          <w:lang w:val="en-GB"/>
        </w:rPr>
        <w:t xml:space="preserve">The Ministry of Finance, which is </w:t>
      </w:r>
      <w:r w:rsidR="006F79B6" w:rsidRPr="00F11E57">
        <w:rPr>
          <w:rFonts w:ascii="Lucida Sans Unicode" w:hAnsi="Lucida Sans Unicode"/>
          <w:lang w:val="en-GB"/>
        </w:rPr>
        <w:t>the UAE Competent Authority, is in charge of the CRS implementation</w:t>
      </w:r>
      <w:r w:rsidRPr="00F11E57">
        <w:rPr>
          <w:rFonts w:ascii="Lucida Sans Unicode" w:hAnsi="Lucida Sans Unicode"/>
          <w:lang w:val="en-GB"/>
        </w:rPr>
        <w:t xml:space="preserve"> according to the Cabinet Decision</w:t>
      </w:r>
      <w:r w:rsidR="006F79B6" w:rsidRPr="00F11E57">
        <w:rPr>
          <w:rFonts w:ascii="Lucida Sans Unicode" w:hAnsi="Lucida Sans Unicode"/>
          <w:lang w:val="en-GB"/>
        </w:rPr>
        <w:t>.</w:t>
      </w:r>
    </w:p>
    <w:p w14:paraId="44FAFA97" w14:textId="021B0DC9" w:rsidR="00AB5574" w:rsidRPr="00F11E57" w:rsidRDefault="006F79B6" w:rsidP="007A268B">
      <w:pPr>
        <w:pStyle w:val="BodyText"/>
        <w:spacing w:before="1" w:line="274" w:lineRule="auto"/>
        <w:ind w:left="260" w:right="1439" w:firstLine="0"/>
        <w:rPr>
          <w:rFonts w:ascii="Lucida Sans Unicode" w:hAnsi="Lucida Sans Unicode"/>
          <w:lang w:val="en-GB"/>
        </w:rPr>
      </w:pPr>
      <w:r w:rsidRPr="00F11E57">
        <w:rPr>
          <w:rFonts w:ascii="Lucida Sans Unicode" w:hAnsi="Lucida Sans Unicode"/>
          <w:lang w:val="en-GB"/>
        </w:rPr>
        <w:t>The UAE CRS Regulations will be published by the</w:t>
      </w:r>
      <w:r w:rsidR="00E40527" w:rsidRPr="00F11E57">
        <w:rPr>
          <w:rFonts w:ascii="Lucida Sans Unicode" w:hAnsi="Lucida Sans Unicode"/>
          <w:lang w:val="en-GB"/>
        </w:rPr>
        <w:t xml:space="preserve"> </w:t>
      </w:r>
      <w:r w:rsidR="000D0E08" w:rsidRPr="00F11E57">
        <w:rPr>
          <w:rFonts w:ascii="Lucida Sans Unicode" w:hAnsi="Lucida Sans Unicode"/>
          <w:lang w:val="en-GB"/>
        </w:rPr>
        <w:t>R</w:t>
      </w:r>
      <w:r w:rsidR="00E40527" w:rsidRPr="00F11E57">
        <w:rPr>
          <w:rFonts w:ascii="Lucida Sans Unicode" w:hAnsi="Lucida Sans Unicode"/>
          <w:lang w:val="en-GB"/>
        </w:rPr>
        <w:t>egulator</w:t>
      </w:r>
      <w:r w:rsidR="007A268B" w:rsidRPr="00F11E57">
        <w:rPr>
          <w:rFonts w:ascii="Lucida Sans Unicode" w:hAnsi="Lucida Sans Unicode"/>
          <w:lang w:val="en-GB"/>
        </w:rPr>
        <w:t>y Authorities</w:t>
      </w:r>
      <w:r w:rsidR="00E40527" w:rsidRPr="00F11E57">
        <w:rPr>
          <w:rFonts w:ascii="Lucida Sans Unicode" w:hAnsi="Lucida Sans Unicode"/>
          <w:lang w:val="en-GB"/>
        </w:rPr>
        <w:t xml:space="preserve"> concerning the</w:t>
      </w:r>
      <w:r w:rsidRPr="00F11E57">
        <w:rPr>
          <w:rFonts w:ascii="Lucida Sans Unicode" w:hAnsi="Lucida Sans Unicode"/>
          <w:lang w:val="en-GB"/>
        </w:rPr>
        <w:t xml:space="preserve"> UAE Financial Institutions </w:t>
      </w:r>
      <w:r w:rsidR="00E40527" w:rsidRPr="00F11E57">
        <w:rPr>
          <w:rFonts w:ascii="Lucida Sans Unicode" w:hAnsi="Lucida Sans Unicode"/>
          <w:lang w:val="en-GB"/>
        </w:rPr>
        <w:t>(as defined in the UAE CRS Regulations)</w:t>
      </w:r>
      <w:r w:rsidRPr="00F11E57">
        <w:rPr>
          <w:rFonts w:ascii="Lucida Sans Unicode" w:hAnsi="Lucida Sans Unicode"/>
          <w:lang w:val="en-GB"/>
        </w:rPr>
        <w:t>:</w:t>
      </w:r>
    </w:p>
    <w:p w14:paraId="6B6C5F46" w14:textId="5F391B1F" w:rsidR="00AB5574" w:rsidRPr="00F11E57" w:rsidRDefault="006F79B6" w:rsidP="00641A58">
      <w:pPr>
        <w:pStyle w:val="ListParagraph"/>
        <w:numPr>
          <w:ilvl w:val="1"/>
          <w:numId w:val="26"/>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Central Bank</w:t>
      </w:r>
    </w:p>
    <w:p w14:paraId="378FFA44" w14:textId="29588179" w:rsidR="00AB5574" w:rsidRPr="00F11E57" w:rsidRDefault="006F79B6" w:rsidP="00641A58">
      <w:pPr>
        <w:pStyle w:val="ListParagraph"/>
        <w:numPr>
          <w:ilvl w:val="1"/>
          <w:numId w:val="26"/>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Securities and Commodities</w:t>
      </w:r>
      <w:r w:rsidRPr="00F11E57">
        <w:rPr>
          <w:rFonts w:ascii="Lucida Sans Unicode" w:hAnsi="Lucida Sans Unicode"/>
          <w:spacing w:val="-1"/>
          <w:lang w:val="en-GB"/>
        </w:rPr>
        <w:t xml:space="preserve"> </w:t>
      </w:r>
      <w:r w:rsidRPr="00F11E57">
        <w:rPr>
          <w:rFonts w:ascii="Lucida Sans Unicode" w:hAnsi="Lucida Sans Unicode"/>
          <w:lang w:val="en-GB"/>
        </w:rPr>
        <w:t>Authority</w:t>
      </w:r>
      <w:r w:rsidR="00F75A48" w:rsidRPr="00F11E57">
        <w:rPr>
          <w:rFonts w:ascii="Lucida Sans Unicode" w:hAnsi="Lucida Sans Unicode"/>
          <w:lang w:val="en-GB"/>
        </w:rPr>
        <w:t xml:space="preserve"> (SCA)</w:t>
      </w:r>
    </w:p>
    <w:p w14:paraId="2980C3AB" w14:textId="77777777" w:rsidR="00AB5574" w:rsidRPr="00F11E57" w:rsidRDefault="006F79B6" w:rsidP="00641A58">
      <w:pPr>
        <w:pStyle w:val="ListParagraph"/>
        <w:numPr>
          <w:ilvl w:val="1"/>
          <w:numId w:val="26"/>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Insurance</w:t>
      </w:r>
      <w:r w:rsidRPr="00F11E57">
        <w:rPr>
          <w:rFonts w:ascii="Lucida Sans Unicode" w:hAnsi="Lucida Sans Unicode"/>
          <w:spacing w:val="-2"/>
          <w:lang w:val="en-GB"/>
        </w:rPr>
        <w:t xml:space="preserve"> </w:t>
      </w:r>
      <w:r w:rsidRPr="00F11E57">
        <w:rPr>
          <w:rFonts w:ascii="Lucida Sans Unicode" w:hAnsi="Lucida Sans Unicode"/>
          <w:lang w:val="en-GB"/>
        </w:rPr>
        <w:t>Authority</w:t>
      </w:r>
    </w:p>
    <w:p w14:paraId="0840BF8D" w14:textId="611DE299" w:rsidR="00F83FCE" w:rsidRPr="00F11E57" w:rsidRDefault="00A70925" w:rsidP="00641A58">
      <w:pPr>
        <w:pStyle w:val="ListParagraph"/>
        <w:numPr>
          <w:ilvl w:val="1"/>
          <w:numId w:val="26"/>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Registrar of Companies</w:t>
      </w:r>
      <w:r w:rsidR="0016403F" w:rsidRPr="00F11E57">
        <w:rPr>
          <w:rFonts w:ascii="Lucida Sans Unicode" w:hAnsi="Lucida Sans Unicode"/>
          <w:lang w:val="en-GB"/>
        </w:rPr>
        <w:t>, Dubai International Financial Centre</w:t>
      </w:r>
      <w:r w:rsidR="004F4750" w:rsidRPr="00F11E57">
        <w:rPr>
          <w:rFonts w:ascii="Lucida Sans Unicode" w:hAnsi="Lucida Sans Unicode"/>
          <w:lang w:val="en-GB"/>
        </w:rPr>
        <w:t xml:space="preserve"> (</w:t>
      </w:r>
      <w:r w:rsidR="0016403F" w:rsidRPr="00F11E57">
        <w:rPr>
          <w:rFonts w:ascii="Lucida Sans Unicode" w:hAnsi="Lucida Sans Unicode"/>
          <w:lang w:val="en-GB"/>
        </w:rPr>
        <w:t>ROC</w:t>
      </w:r>
      <w:r w:rsidR="004F4750" w:rsidRPr="00F11E57">
        <w:rPr>
          <w:rFonts w:ascii="Lucida Sans Unicode" w:hAnsi="Lucida Sans Unicode"/>
          <w:lang w:val="en-GB"/>
        </w:rPr>
        <w:t>)</w:t>
      </w:r>
    </w:p>
    <w:p w14:paraId="153718E1" w14:textId="376681D8" w:rsidR="00732E9B" w:rsidRPr="00F11E57" w:rsidRDefault="00C81932" w:rsidP="00641A58">
      <w:pPr>
        <w:pStyle w:val="ListParagraph"/>
        <w:numPr>
          <w:ilvl w:val="1"/>
          <w:numId w:val="26"/>
        </w:numPr>
        <w:tabs>
          <w:tab w:val="left" w:pos="980"/>
          <w:tab w:val="left" w:pos="981"/>
        </w:tabs>
        <w:spacing w:before="1" w:line="274" w:lineRule="auto"/>
        <w:rPr>
          <w:rFonts w:ascii="Lucida Sans Unicode" w:hAnsi="Lucida Sans Unicode"/>
          <w:lang w:val="en-GB"/>
        </w:rPr>
      </w:pPr>
      <w:r w:rsidRPr="00F11E57">
        <w:rPr>
          <w:rFonts w:ascii="Lucida Sans Unicode" w:hAnsi="Lucida Sans Unicode"/>
          <w:lang w:val="en-GB"/>
        </w:rPr>
        <w:t>Financial Services Regulatory Authority</w:t>
      </w:r>
      <w:r w:rsidR="0016403F" w:rsidRPr="00F11E57">
        <w:rPr>
          <w:rFonts w:ascii="Lucida Sans Unicode" w:hAnsi="Lucida Sans Unicode"/>
          <w:lang w:val="en-GB"/>
        </w:rPr>
        <w:t>, Abu Dhabi Global Markets</w:t>
      </w:r>
      <w:r w:rsidRPr="00F11E57">
        <w:rPr>
          <w:rFonts w:ascii="Lucida Sans Unicode" w:hAnsi="Lucida Sans Unicode"/>
          <w:lang w:val="en-GB"/>
        </w:rPr>
        <w:t xml:space="preserve"> (</w:t>
      </w:r>
      <w:r w:rsidR="0016403F" w:rsidRPr="00F11E57">
        <w:rPr>
          <w:rFonts w:ascii="Lucida Sans Unicode" w:hAnsi="Lucida Sans Unicode"/>
          <w:lang w:val="en-GB"/>
        </w:rPr>
        <w:t>FSRA</w:t>
      </w:r>
      <w:r w:rsidRPr="00F11E57">
        <w:rPr>
          <w:rFonts w:ascii="Lucida Sans Unicode" w:hAnsi="Lucida Sans Unicode"/>
          <w:lang w:val="en-GB"/>
        </w:rPr>
        <w:t>)</w:t>
      </w:r>
    </w:p>
    <w:p w14:paraId="7230B4B2" w14:textId="5F7EFD6E" w:rsidR="0016403F" w:rsidRPr="00C46E46" w:rsidRDefault="0016403F" w:rsidP="00641A58">
      <w:pPr>
        <w:pStyle w:val="ListParagraph"/>
        <w:numPr>
          <w:ilvl w:val="1"/>
          <w:numId w:val="26"/>
        </w:numPr>
        <w:tabs>
          <w:tab w:val="left" w:pos="980"/>
          <w:tab w:val="left" w:pos="981"/>
        </w:tabs>
        <w:spacing w:before="1" w:line="274" w:lineRule="auto"/>
        <w:rPr>
          <w:rFonts w:ascii="Lucida Sans Unicode" w:hAnsi="Lucida Sans Unicode"/>
          <w:highlight w:val="yellow"/>
          <w:lang w:val="en-GB"/>
        </w:rPr>
      </w:pPr>
      <w:r w:rsidRPr="00C46E46">
        <w:rPr>
          <w:rFonts w:ascii="Lucida Sans Unicode" w:hAnsi="Lucida Sans Unicode"/>
          <w:highlight w:val="yellow"/>
          <w:lang w:val="en-GB"/>
        </w:rPr>
        <w:t>[</w:t>
      </w:r>
      <w:r w:rsidR="008C6E97" w:rsidRPr="00C46E46">
        <w:rPr>
          <w:rFonts w:ascii="Lucida Sans Unicode" w:hAnsi="Lucida Sans Unicode"/>
          <w:highlight w:val="yellow"/>
          <w:lang w:val="en-GB"/>
        </w:rPr>
        <w:t xml:space="preserve"> </w:t>
      </w:r>
      <w:r w:rsidRPr="00C46E46">
        <w:rPr>
          <w:rFonts w:ascii="Lucida Sans Unicode" w:hAnsi="Lucida Sans Unicode"/>
          <w:highlight w:val="yellow"/>
          <w:lang w:val="en-GB"/>
        </w:rPr>
        <w:t xml:space="preserve">] </w:t>
      </w:r>
    </w:p>
    <w:p w14:paraId="55971EFF" w14:textId="44EFDF8F" w:rsidR="00AB5574" w:rsidRPr="00F11E57" w:rsidRDefault="00AB5574" w:rsidP="0016403F">
      <w:pPr>
        <w:pStyle w:val="ListParagraph"/>
        <w:numPr>
          <w:ilvl w:val="1"/>
          <w:numId w:val="26"/>
        </w:numPr>
        <w:tabs>
          <w:tab w:val="left" w:pos="980"/>
          <w:tab w:val="left" w:pos="981"/>
        </w:tabs>
        <w:spacing w:before="1" w:line="274" w:lineRule="auto"/>
        <w:rPr>
          <w:rFonts w:ascii="Lucida Sans Unicode" w:hAnsi="Lucida Sans Unicode"/>
          <w:lang w:val="en-GB"/>
        </w:rPr>
        <w:sectPr w:rsidR="00AB5574" w:rsidRPr="00F11E57">
          <w:pgSz w:w="11910" w:h="16840"/>
          <w:pgMar w:top="1580" w:right="860" w:bottom="1120" w:left="1180" w:header="0" w:footer="928" w:gutter="0"/>
          <w:cols w:space="720"/>
        </w:sectPr>
      </w:pPr>
    </w:p>
    <w:p w14:paraId="218CFAAD" w14:textId="25814AD9" w:rsidR="00AB5574" w:rsidRPr="00F11E57" w:rsidRDefault="006F79B6" w:rsidP="0016403F">
      <w:pPr>
        <w:pStyle w:val="Heading1"/>
        <w:numPr>
          <w:ilvl w:val="0"/>
          <w:numId w:val="30"/>
        </w:numPr>
        <w:spacing w:before="1" w:line="274" w:lineRule="auto"/>
        <w:ind w:left="720" w:hanging="450"/>
        <w:rPr>
          <w:rFonts w:ascii="Calibri"/>
          <w:color w:val="B89207"/>
          <w:lang w:val="en-GB"/>
        </w:rPr>
      </w:pPr>
      <w:bookmarkStart w:id="6" w:name="_bookmark2"/>
      <w:bookmarkStart w:id="7" w:name="_Toc448011177"/>
      <w:bookmarkEnd w:id="6"/>
      <w:r w:rsidRPr="00F11E57">
        <w:rPr>
          <w:rFonts w:ascii="Calibri"/>
          <w:color w:val="B89207"/>
          <w:lang w:val="en-GB"/>
        </w:rPr>
        <w:lastRenderedPageBreak/>
        <w:t>KEY TIMELINES</w:t>
      </w:r>
      <w:r w:rsidR="007B555B" w:rsidRPr="00F11E57">
        <w:rPr>
          <w:rFonts w:ascii="Calibri"/>
          <w:color w:val="B89207"/>
          <w:lang w:val="en-GB"/>
        </w:rPr>
        <w:t xml:space="preserve"> </w:t>
      </w:r>
      <w:bookmarkEnd w:id="7"/>
    </w:p>
    <w:p w14:paraId="387970C0" w14:textId="5F00229D" w:rsidR="00AB5574" w:rsidRPr="00F11E57" w:rsidRDefault="006F79B6" w:rsidP="005557B1">
      <w:pPr>
        <w:pStyle w:val="BodyText"/>
        <w:spacing w:before="1" w:line="274" w:lineRule="auto"/>
        <w:ind w:left="260" w:right="885" w:firstLine="0"/>
        <w:rPr>
          <w:rFonts w:ascii="Lucida Sans Unicode"/>
          <w:lang w:val="en-GB"/>
        </w:rPr>
      </w:pPr>
      <w:r w:rsidRPr="00F11E57">
        <w:rPr>
          <w:rFonts w:ascii="Lucida Sans Unicode"/>
          <w:lang w:val="en-GB"/>
        </w:rPr>
        <w:t>The first reporting d</w:t>
      </w:r>
      <w:r w:rsidR="00C84764" w:rsidRPr="00F11E57">
        <w:rPr>
          <w:rFonts w:ascii="Lucida Sans Unicode"/>
          <w:lang w:val="en-GB"/>
        </w:rPr>
        <w:t>ue date for the CRS in the UAE wa</w:t>
      </w:r>
      <w:r w:rsidRPr="00F11E57">
        <w:rPr>
          <w:rFonts w:ascii="Lucida Sans Unicode"/>
          <w:lang w:val="en-GB"/>
        </w:rPr>
        <w:t>s 30 June 2018</w:t>
      </w:r>
      <w:r w:rsidR="00F30FCF" w:rsidRPr="00F11E57">
        <w:rPr>
          <w:rFonts w:ascii="Lucida Sans Unicode"/>
          <w:lang w:val="en-GB"/>
        </w:rPr>
        <w:t xml:space="preserve"> (covering the first reporting period ending on 31 December 2017)</w:t>
      </w:r>
      <w:r w:rsidRPr="00F11E57">
        <w:rPr>
          <w:rFonts w:ascii="Lucida Sans Unicode"/>
          <w:lang w:val="en-GB"/>
        </w:rPr>
        <w:t xml:space="preserve"> and</w:t>
      </w:r>
      <w:r w:rsidR="00C84764" w:rsidRPr="00F11E57">
        <w:rPr>
          <w:rFonts w:ascii="Lucida Sans Unicode"/>
          <w:lang w:val="en-GB"/>
        </w:rPr>
        <w:t xml:space="preserve"> is</w:t>
      </w:r>
      <w:r w:rsidRPr="00F11E57">
        <w:rPr>
          <w:rFonts w:ascii="Lucida Sans Unicode"/>
          <w:lang w:val="en-GB"/>
        </w:rPr>
        <w:t xml:space="preserve"> consequently by 30 June of the year following each reporting period. Reporting is an annual event.</w:t>
      </w:r>
    </w:p>
    <w:p w14:paraId="25E74E8B" w14:textId="77777777" w:rsidR="00AB5574" w:rsidRPr="00F11E57" w:rsidRDefault="006F79B6" w:rsidP="005557B1">
      <w:pPr>
        <w:pStyle w:val="BodyText"/>
        <w:spacing w:before="1" w:line="274" w:lineRule="auto"/>
        <w:ind w:left="260" w:firstLine="0"/>
        <w:rPr>
          <w:rFonts w:ascii="Lucida Sans Unicode"/>
          <w:lang w:val="en-GB"/>
        </w:rPr>
      </w:pPr>
      <w:r w:rsidRPr="00F11E57">
        <w:rPr>
          <w:rFonts w:ascii="Lucida Sans Unicode"/>
          <w:lang w:val="en-GB"/>
        </w:rPr>
        <w:t>The following are the effective dates for the implementation of the CRS in the UAE:</w:t>
      </w:r>
    </w:p>
    <w:p w14:paraId="35BCE757" w14:textId="79876EB1" w:rsidR="00AB5574" w:rsidRPr="00F11E57" w:rsidRDefault="00F30FCF" w:rsidP="00F30FCF">
      <w:pPr>
        <w:pStyle w:val="ListParagraph"/>
        <w:numPr>
          <w:ilvl w:val="1"/>
          <w:numId w:val="26"/>
        </w:numPr>
        <w:tabs>
          <w:tab w:val="left" w:pos="980"/>
          <w:tab w:val="left" w:pos="981"/>
        </w:tabs>
        <w:spacing w:before="1" w:line="274" w:lineRule="auto"/>
        <w:ind w:right="678"/>
        <w:rPr>
          <w:rFonts w:ascii="Lucida Sans Unicode" w:hAnsi="Lucida Sans Unicode"/>
          <w:lang w:val="en-GB"/>
        </w:rPr>
      </w:pPr>
      <w:r w:rsidRPr="00F11E57">
        <w:rPr>
          <w:rFonts w:ascii="Lucida Sans Unicode" w:hAnsi="Lucida Sans Unicode"/>
          <w:lang w:val="en-GB"/>
        </w:rPr>
        <w:t xml:space="preserve">The pre-existing due diligence procedures cover Pre-existing Account maintained by a Reporting Financial Institution as at 31 December 2016. </w:t>
      </w:r>
    </w:p>
    <w:p w14:paraId="503BF851" w14:textId="7639A301" w:rsidR="00F30FCF" w:rsidRPr="00F11E57" w:rsidRDefault="00F30FCF" w:rsidP="00F30FCF">
      <w:pPr>
        <w:pStyle w:val="ListParagraph"/>
        <w:numPr>
          <w:ilvl w:val="1"/>
          <w:numId w:val="26"/>
        </w:numPr>
        <w:tabs>
          <w:tab w:val="left" w:pos="980"/>
          <w:tab w:val="left" w:pos="981"/>
        </w:tabs>
        <w:spacing w:before="1" w:line="274" w:lineRule="auto"/>
        <w:ind w:right="678"/>
        <w:rPr>
          <w:rFonts w:ascii="Lucida Sans Unicode" w:hAnsi="Lucida Sans Unicode"/>
          <w:lang w:val="en-GB"/>
        </w:rPr>
      </w:pPr>
      <w:r w:rsidRPr="00F11E57">
        <w:rPr>
          <w:rFonts w:ascii="Lucida Sans Unicode" w:hAnsi="Lucida Sans Unicode"/>
          <w:lang w:val="en-GB"/>
        </w:rPr>
        <w:t>The new account due diligence procedures cover New Accounts opened on or after 1 January 2017.</w:t>
      </w:r>
    </w:p>
    <w:p w14:paraId="2CC642D0" w14:textId="51D4B291" w:rsidR="00AB5574" w:rsidRPr="00F11E57" w:rsidRDefault="00FE34FE" w:rsidP="00641A58">
      <w:pPr>
        <w:pStyle w:val="ListParagraph"/>
        <w:numPr>
          <w:ilvl w:val="1"/>
          <w:numId w:val="26"/>
        </w:numPr>
        <w:tabs>
          <w:tab w:val="left" w:pos="980"/>
          <w:tab w:val="left" w:pos="981"/>
        </w:tabs>
        <w:spacing w:before="1" w:line="274" w:lineRule="auto"/>
        <w:ind w:right="901"/>
        <w:rPr>
          <w:rFonts w:ascii="Lucida Sans Unicode" w:hAnsi="Lucida Sans Unicode"/>
          <w:lang w:val="en-GB"/>
        </w:rPr>
      </w:pPr>
      <w:r w:rsidRPr="00F11E57">
        <w:rPr>
          <w:rFonts w:ascii="Lucida Sans Unicode" w:hAnsi="Lucida Sans Unicode"/>
          <w:lang w:val="en-GB"/>
        </w:rPr>
        <w:t>The review of the</w:t>
      </w:r>
      <w:r w:rsidR="006F79B6" w:rsidRPr="00F11E57">
        <w:rPr>
          <w:rFonts w:ascii="Lucida Sans Unicode" w:hAnsi="Lucida Sans Unicode"/>
          <w:lang w:val="en-GB"/>
        </w:rPr>
        <w:t xml:space="preserve"> Pre</w:t>
      </w:r>
      <w:r w:rsidR="007B555B" w:rsidRPr="00F11E57">
        <w:rPr>
          <w:rFonts w:ascii="Lucida Sans Unicode" w:hAnsi="Lucida Sans Unicode"/>
          <w:lang w:val="en-GB"/>
        </w:rPr>
        <w:t>-</w:t>
      </w:r>
      <w:r w:rsidR="006F79B6" w:rsidRPr="00F11E57">
        <w:rPr>
          <w:rFonts w:ascii="Lucida Sans Unicode" w:hAnsi="Lucida Sans Unicode"/>
          <w:lang w:val="en-GB"/>
        </w:rPr>
        <w:t xml:space="preserve">existing High Value Individual Accounts </w:t>
      </w:r>
      <w:r w:rsidR="007B555B" w:rsidRPr="00F11E57">
        <w:rPr>
          <w:rFonts w:ascii="Lucida Sans Unicode" w:hAnsi="Lucida Sans Unicode"/>
          <w:lang w:val="en-GB"/>
        </w:rPr>
        <w:t xml:space="preserve">maintained at a Reporting Financial Institution as </w:t>
      </w:r>
      <w:r w:rsidR="00C84764" w:rsidRPr="00F11E57">
        <w:rPr>
          <w:rFonts w:ascii="Lucida Sans Unicode" w:hAnsi="Lucida Sans Unicode"/>
          <w:lang w:val="en-GB"/>
        </w:rPr>
        <w:t>at 31</w:t>
      </w:r>
      <w:r w:rsidR="006F79B6" w:rsidRPr="00F11E57">
        <w:rPr>
          <w:rFonts w:ascii="Lucida Sans Unicode" w:hAnsi="Lucida Sans Unicode"/>
          <w:lang w:val="en-GB"/>
        </w:rPr>
        <w:t xml:space="preserve">December 2016 </w:t>
      </w:r>
      <w:r w:rsidR="004C15B1" w:rsidRPr="00F11E57">
        <w:rPr>
          <w:rFonts w:ascii="Lucida Sans Unicode" w:hAnsi="Lucida Sans Unicode"/>
          <w:lang w:val="en-GB"/>
        </w:rPr>
        <w:t>was</w:t>
      </w:r>
      <w:r w:rsidRPr="00F11E57">
        <w:rPr>
          <w:rFonts w:ascii="Lucida Sans Unicode" w:hAnsi="Lucida Sans Unicode"/>
          <w:lang w:val="en-GB"/>
        </w:rPr>
        <w:t xml:space="preserve"> to</w:t>
      </w:r>
      <w:r w:rsidR="006F79B6" w:rsidRPr="00F11E57">
        <w:rPr>
          <w:rFonts w:ascii="Lucida Sans Unicode" w:hAnsi="Lucida Sans Unicode"/>
          <w:lang w:val="en-GB"/>
        </w:rPr>
        <w:t xml:space="preserve"> be completed by 31 December </w:t>
      </w:r>
      <w:r w:rsidRPr="00F11E57">
        <w:rPr>
          <w:rFonts w:ascii="Lucida Sans Unicode" w:hAnsi="Lucida Sans Unicode"/>
          <w:lang w:val="en-GB"/>
        </w:rPr>
        <w:t>2017.</w:t>
      </w:r>
    </w:p>
    <w:p w14:paraId="4CFDDF1B" w14:textId="42707768" w:rsidR="00AB5574" w:rsidRPr="00F11E57" w:rsidRDefault="006F79B6" w:rsidP="00641A58">
      <w:pPr>
        <w:pStyle w:val="ListParagraph"/>
        <w:numPr>
          <w:ilvl w:val="1"/>
          <w:numId w:val="26"/>
        </w:numPr>
        <w:tabs>
          <w:tab w:val="left" w:pos="980"/>
          <w:tab w:val="left" w:pos="981"/>
        </w:tabs>
        <w:spacing w:before="1" w:line="274" w:lineRule="auto"/>
        <w:ind w:right="733"/>
        <w:rPr>
          <w:rFonts w:ascii="Lucida Sans Unicode" w:hAnsi="Lucida Sans Unicode"/>
          <w:lang w:val="en-GB"/>
        </w:rPr>
      </w:pPr>
      <w:r w:rsidRPr="00F11E57">
        <w:rPr>
          <w:rFonts w:ascii="Lucida Sans Unicode" w:hAnsi="Lucida Sans Unicode"/>
          <w:lang w:val="en-GB"/>
        </w:rPr>
        <w:t xml:space="preserve">The Reportable Pre-existing High Value Accounts </w:t>
      </w:r>
      <w:r w:rsidR="00FE34FE" w:rsidRPr="00F11E57">
        <w:rPr>
          <w:rFonts w:ascii="Lucida Sans Unicode" w:hAnsi="Lucida Sans Unicode"/>
          <w:lang w:val="en-GB"/>
        </w:rPr>
        <w:t>were</w:t>
      </w:r>
      <w:r w:rsidRPr="00F11E57">
        <w:rPr>
          <w:rFonts w:ascii="Lucida Sans Unicode" w:hAnsi="Lucida Sans Unicode"/>
          <w:lang w:val="en-GB"/>
        </w:rPr>
        <w:t xml:space="preserve"> to be reported by 30</w:t>
      </w:r>
      <w:r w:rsidR="007353B5" w:rsidRPr="00F11E57">
        <w:rPr>
          <w:rFonts w:ascii="Lucida Sans Unicode" w:hAnsi="Lucida Sans Unicode"/>
          <w:lang w:val="en-GB"/>
        </w:rPr>
        <w:t> </w:t>
      </w:r>
      <w:r w:rsidRPr="00F11E57">
        <w:rPr>
          <w:rFonts w:ascii="Lucida Sans Unicode" w:hAnsi="Lucida Sans Unicode"/>
          <w:lang w:val="en-GB"/>
        </w:rPr>
        <w:t>June 2018.</w:t>
      </w:r>
    </w:p>
    <w:p w14:paraId="4264FBD4" w14:textId="4F879869" w:rsidR="00AB5574" w:rsidRPr="00F11E57" w:rsidRDefault="007B555B" w:rsidP="007B555B">
      <w:pPr>
        <w:pStyle w:val="ListParagraph"/>
        <w:numPr>
          <w:ilvl w:val="1"/>
          <w:numId w:val="26"/>
        </w:numPr>
        <w:tabs>
          <w:tab w:val="left" w:pos="980"/>
          <w:tab w:val="left" w:pos="981"/>
        </w:tabs>
        <w:spacing w:before="1" w:line="274" w:lineRule="auto"/>
        <w:ind w:right="733"/>
        <w:rPr>
          <w:rFonts w:ascii="Lucida Sans Unicode" w:hAnsi="Lucida Sans Unicode"/>
          <w:lang w:val="en-GB"/>
        </w:rPr>
      </w:pPr>
      <w:r w:rsidRPr="00F11E57">
        <w:rPr>
          <w:rFonts w:ascii="Lucida Sans Unicode" w:hAnsi="Lucida Sans Unicode"/>
          <w:lang w:val="en-GB"/>
        </w:rPr>
        <w:t>The review of the Pre-existing Lower Value Individual Accounts maintained by a Reporting Financial Institution as at 31 December 2016 was to be completed by 31 December 2018.</w:t>
      </w:r>
    </w:p>
    <w:p w14:paraId="371DD8DF" w14:textId="3D3163B9" w:rsidR="00AB5574" w:rsidRPr="00F11E57" w:rsidRDefault="004C15B1" w:rsidP="00641A58">
      <w:pPr>
        <w:pStyle w:val="ListParagraph"/>
        <w:numPr>
          <w:ilvl w:val="1"/>
          <w:numId w:val="26"/>
        </w:numPr>
        <w:tabs>
          <w:tab w:val="left" w:pos="980"/>
          <w:tab w:val="left" w:pos="981"/>
        </w:tabs>
        <w:spacing w:before="1" w:line="274" w:lineRule="auto"/>
        <w:ind w:right="1366"/>
        <w:rPr>
          <w:rFonts w:ascii="Lucida Sans Unicode" w:hAnsi="Lucida Sans Unicode"/>
          <w:lang w:val="en-GB"/>
        </w:rPr>
      </w:pPr>
      <w:r w:rsidRPr="00F11E57">
        <w:rPr>
          <w:rFonts w:ascii="Lucida Sans Unicode" w:hAnsi="Lucida Sans Unicode"/>
          <w:lang w:val="en-GB"/>
        </w:rPr>
        <w:t>The f</w:t>
      </w:r>
      <w:r w:rsidR="006F79B6" w:rsidRPr="00F11E57">
        <w:rPr>
          <w:rFonts w:ascii="Lucida Sans Unicode" w:hAnsi="Lucida Sans Unicode"/>
          <w:lang w:val="en-GB"/>
        </w:rPr>
        <w:t>irst exchanges of information by the UAE Compete</w:t>
      </w:r>
      <w:r w:rsidR="00FE34FE" w:rsidRPr="00F11E57">
        <w:rPr>
          <w:rFonts w:ascii="Lucida Sans Unicode" w:hAnsi="Lucida Sans Unicode"/>
          <w:lang w:val="en-GB"/>
        </w:rPr>
        <w:t xml:space="preserve">nt Authority to the </w:t>
      </w:r>
      <w:r w:rsidR="00F30B48" w:rsidRPr="00F11E57">
        <w:rPr>
          <w:rFonts w:ascii="Lucida Sans Unicode" w:hAnsi="Lucida Sans Unicode"/>
          <w:lang w:val="en-GB"/>
        </w:rPr>
        <w:t>jurisdictions the UAE entered into an agreement for exchange of information</w:t>
      </w:r>
      <w:r w:rsidR="00B05A88" w:rsidRPr="00F11E57">
        <w:rPr>
          <w:rFonts w:ascii="Lucida Sans Unicode" w:hAnsi="Lucida Sans Unicode"/>
          <w:lang w:val="en-GB"/>
        </w:rPr>
        <w:t xml:space="preserve"> with</w:t>
      </w:r>
      <w:r w:rsidR="00F30B48" w:rsidRPr="00F11E57">
        <w:rPr>
          <w:rFonts w:ascii="Lucida Sans Unicode" w:hAnsi="Lucida Sans Unicode"/>
          <w:lang w:val="en-GB"/>
        </w:rPr>
        <w:t xml:space="preserve"> at the relevant time</w:t>
      </w:r>
      <w:r w:rsidRPr="00F11E57">
        <w:rPr>
          <w:rFonts w:ascii="Lucida Sans Unicode" w:hAnsi="Lucida Sans Unicode"/>
          <w:lang w:val="en-GB"/>
        </w:rPr>
        <w:t xml:space="preserve"> occurred</w:t>
      </w:r>
      <w:r w:rsidR="006F79B6" w:rsidRPr="00F11E57">
        <w:rPr>
          <w:rFonts w:ascii="Lucida Sans Unicode" w:hAnsi="Lucida Sans Unicode"/>
          <w:lang w:val="en-GB"/>
        </w:rPr>
        <w:t xml:space="preserve"> on or after 30</w:t>
      </w:r>
      <w:r w:rsidR="007353B5" w:rsidRPr="00F11E57">
        <w:rPr>
          <w:rFonts w:ascii="Lucida Sans Unicode" w:hAnsi="Lucida Sans Unicode"/>
          <w:lang w:val="en-GB"/>
        </w:rPr>
        <w:t> </w:t>
      </w:r>
      <w:r w:rsidR="006F79B6" w:rsidRPr="00F11E57">
        <w:rPr>
          <w:rFonts w:ascii="Lucida Sans Unicode" w:hAnsi="Lucida Sans Unicode"/>
          <w:lang w:val="en-GB"/>
        </w:rPr>
        <w:t>September</w:t>
      </w:r>
      <w:r w:rsidR="006F79B6" w:rsidRPr="00F11E57">
        <w:rPr>
          <w:rFonts w:ascii="Lucida Sans Unicode" w:hAnsi="Lucida Sans Unicode"/>
          <w:spacing w:val="-20"/>
          <w:lang w:val="en-GB"/>
        </w:rPr>
        <w:t xml:space="preserve"> </w:t>
      </w:r>
      <w:r w:rsidR="006F79B6" w:rsidRPr="00F11E57">
        <w:rPr>
          <w:rFonts w:ascii="Lucida Sans Unicode" w:hAnsi="Lucida Sans Unicode"/>
          <w:lang w:val="en-GB"/>
        </w:rPr>
        <w:t>2018.</w:t>
      </w:r>
    </w:p>
    <w:p w14:paraId="0F15A939" w14:textId="77777777" w:rsidR="00AB5574" w:rsidRPr="00F11E57" w:rsidRDefault="00AB5574" w:rsidP="005557B1">
      <w:pPr>
        <w:spacing w:before="1" w:line="274" w:lineRule="auto"/>
        <w:rPr>
          <w:rFonts w:ascii="Lucida Sans Unicode" w:hAnsi="Lucida Sans Unicode"/>
          <w:lang w:val="en-GB"/>
        </w:rPr>
        <w:sectPr w:rsidR="00AB5574" w:rsidRPr="00F11E57">
          <w:pgSz w:w="11910" w:h="16840"/>
          <w:pgMar w:top="1580" w:right="860" w:bottom="1120" w:left="1180" w:header="0" w:footer="928" w:gutter="0"/>
          <w:cols w:space="720"/>
        </w:sectPr>
      </w:pPr>
    </w:p>
    <w:p w14:paraId="4D09AAC0" w14:textId="77777777" w:rsidR="00AB5574" w:rsidRPr="00F11E57" w:rsidRDefault="006F79B6" w:rsidP="00641A58">
      <w:pPr>
        <w:pStyle w:val="Heading1"/>
        <w:numPr>
          <w:ilvl w:val="0"/>
          <w:numId w:val="30"/>
        </w:numPr>
        <w:spacing w:before="1" w:line="274" w:lineRule="auto"/>
        <w:ind w:left="720" w:hanging="450"/>
        <w:rPr>
          <w:rFonts w:ascii="Calibri"/>
          <w:color w:val="B89207"/>
          <w:lang w:val="en-GB"/>
        </w:rPr>
      </w:pPr>
      <w:bookmarkStart w:id="8" w:name="_bookmark3"/>
      <w:bookmarkStart w:id="9" w:name="_Toc448011178"/>
      <w:bookmarkEnd w:id="8"/>
      <w:r w:rsidRPr="00F11E57">
        <w:rPr>
          <w:rFonts w:ascii="Calibri"/>
          <w:color w:val="B89207"/>
          <w:lang w:val="en-GB"/>
        </w:rPr>
        <w:lastRenderedPageBreak/>
        <w:t>CONFIDENTIALITY</w:t>
      </w:r>
      <w:bookmarkEnd w:id="9"/>
    </w:p>
    <w:p w14:paraId="06E866B0" w14:textId="1398AF67" w:rsidR="00AB5574" w:rsidRPr="00F11E57" w:rsidRDefault="006F79B6" w:rsidP="00C46E46">
      <w:pPr>
        <w:spacing w:before="1" w:line="274" w:lineRule="auto"/>
        <w:ind w:left="260" w:right="632"/>
        <w:jc w:val="both"/>
        <w:rPr>
          <w:rFonts w:ascii="Lucida Sans Unicode"/>
          <w:sz w:val="23"/>
          <w:lang w:val="en-GB"/>
        </w:rPr>
      </w:pPr>
      <w:r w:rsidRPr="00F11E57">
        <w:rPr>
          <w:rFonts w:ascii="Lucida Sans Unicode"/>
          <w:lang w:val="en-GB"/>
        </w:rPr>
        <w:t xml:space="preserve">The UAE Competent Authority shall not exchange information under the CRS until it is satisfied that a </w:t>
      </w:r>
      <w:r w:rsidR="00020823" w:rsidRPr="00F11E57">
        <w:rPr>
          <w:rFonts w:ascii="Lucida Sans Unicode"/>
          <w:lang w:val="en-GB"/>
        </w:rPr>
        <w:t>r</w:t>
      </w:r>
      <w:r w:rsidRPr="00F11E57">
        <w:rPr>
          <w:rFonts w:ascii="Lucida Sans Unicode"/>
          <w:lang w:val="en-GB"/>
        </w:rPr>
        <w:t xml:space="preserve">eportable partner jurisdiction has in place adequate measures to ensure the required confidentiality and data security. These confidentiality obligations are </w:t>
      </w:r>
      <w:r w:rsidRPr="00F11E57">
        <w:rPr>
          <w:rFonts w:ascii="Lucida Sans Unicode"/>
          <w:sz w:val="23"/>
          <w:lang w:val="en-GB"/>
        </w:rPr>
        <w:t>evaluated by the Global Forum on Transparency and Exchange of Information for Tax Purposes through its implementation monitoring programme.</w:t>
      </w:r>
    </w:p>
    <w:p w14:paraId="1CB826BC" w14:textId="78B97F9B" w:rsidR="00707A1D" w:rsidRPr="00F11E57" w:rsidRDefault="00707A1D">
      <w:pPr>
        <w:rPr>
          <w:rFonts w:ascii="Lucida Sans Unicode"/>
          <w:sz w:val="23"/>
          <w:lang w:val="en-GB"/>
        </w:rPr>
      </w:pPr>
      <w:r w:rsidRPr="00F11E57">
        <w:rPr>
          <w:rFonts w:ascii="Lucida Sans Unicode"/>
          <w:sz w:val="23"/>
          <w:lang w:val="en-GB"/>
        </w:rPr>
        <w:br w:type="page"/>
      </w:r>
    </w:p>
    <w:p w14:paraId="5529CEB4" w14:textId="77777777" w:rsidR="00707A1D" w:rsidRPr="00F11E57" w:rsidRDefault="00707A1D" w:rsidP="00707A1D">
      <w:pPr>
        <w:pStyle w:val="Heading1"/>
        <w:numPr>
          <w:ilvl w:val="0"/>
          <w:numId w:val="30"/>
        </w:numPr>
        <w:spacing w:before="1" w:line="274" w:lineRule="auto"/>
        <w:ind w:left="720" w:hanging="450"/>
        <w:rPr>
          <w:rFonts w:ascii="Calibri"/>
          <w:color w:val="B89207"/>
          <w:lang w:val="en-GB"/>
        </w:rPr>
      </w:pPr>
      <w:bookmarkStart w:id="10" w:name="_Toc448011179"/>
      <w:r w:rsidRPr="00F11E57">
        <w:rPr>
          <w:rFonts w:ascii="Calibri"/>
          <w:color w:val="B89207"/>
          <w:lang w:val="en-GB"/>
        </w:rPr>
        <w:lastRenderedPageBreak/>
        <w:t>CRS OPTIONS</w:t>
      </w:r>
      <w:bookmarkEnd w:id="10"/>
    </w:p>
    <w:p w14:paraId="3FEBB48B" w14:textId="77777777" w:rsidR="00707A1D" w:rsidRPr="00F11E57" w:rsidRDefault="00707A1D" w:rsidP="007B3C92">
      <w:pPr>
        <w:pStyle w:val="BodyText"/>
        <w:spacing w:before="1" w:line="274" w:lineRule="auto"/>
        <w:ind w:left="261" w:right="794" w:firstLine="0"/>
        <w:rPr>
          <w:rFonts w:ascii="Lucida Sans Unicode"/>
          <w:lang w:val="en-GB"/>
        </w:rPr>
      </w:pPr>
      <w:r w:rsidRPr="00F11E57">
        <w:rPr>
          <w:rFonts w:ascii="Lucida Sans Unicode"/>
          <w:lang w:val="en-GB"/>
        </w:rPr>
        <w:t>The CRS provides jurisdictions with a number of implementation options. The UAE implemented the options listed below.</w:t>
      </w:r>
    </w:p>
    <w:p w14:paraId="507A1A94" w14:textId="77777777" w:rsidR="00707A1D" w:rsidRPr="00F11E57" w:rsidRDefault="00707A1D" w:rsidP="00707A1D">
      <w:pPr>
        <w:pStyle w:val="Heading2"/>
        <w:numPr>
          <w:ilvl w:val="1"/>
          <w:numId w:val="25"/>
        </w:numPr>
        <w:tabs>
          <w:tab w:val="left" w:pos="836"/>
          <w:tab w:val="left" w:pos="837"/>
        </w:tabs>
        <w:spacing w:before="1" w:line="274" w:lineRule="auto"/>
        <w:rPr>
          <w:rFonts w:ascii="Lucida Sans Unicode"/>
          <w:lang w:val="en-GB"/>
        </w:rPr>
      </w:pPr>
      <w:bookmarkStart w:id="11" w:name="_bookmark5"/>
      <w:bookmarkStart w:id="12" w:name="_Toc448011180"/>
      <w:bookmarkEnd w:id="11"/>
      <w:r w:rsidRPr="00F11E57">
        <w:rPr>
          <w:rFonts w:ascii="Lucida Sans Unicode"/>
          <w:color w:val="B89207"/>
          <w:lang w:val="en-GB"/>
        </w:rPr>
        <w:t>CRS</w:t>
      </w:r>
      <w:r w:rsidRPr="00F11E57">
        <w:rPr>
          <w:rFonts w:ascii="Lucida Sans Unicode"/>
          <w:color w:val="B89207"/>
          <w:spacing w:val="-2"/>
          <w:lang w:val="en-GB"/>
        </w:rPr>
        <w:t xml:space="preserve"> </w:t>
      </w:r>
      <w:r w:rsidRPr="00F11E57">
        <w:rPr>
          <w:rFonts w:ascii="Lucida Sans Unicode"/>
          <w:color w:val="B89207"/>
          <w:lang w:val="en-GB"/>
        </w:rPr>
        <w:t>Approach</w:t>
      </w:r>
      <w:bookmarkEnd w:id="12"/>
    </w:p>
    <w:p w14:paraId="775A70AF" w14:textId="77777777" w:rsidR="00707A1D" w:rsidRPr="00F11E57" w:rsidRDefault="00707A1D" w:rsidP="00707A1D">
      <w:pPr>
        <w:pStyle w:val="BodyText"/>
        <w:spacing w:before="1" w:line="274" w:lineRule="auto"/>
        <w:ind w:left="260" w:firstLine="0"/>
        <w:rPr>
          <w:rFonts w:ascii="Lucida Sans Unicode" w:hAnsi="Lucida Sans Unicode"/>
          <w:lang w:val="en-GB"/>
        </w:rPr>
      </w:pPr>
      <w:r w:rsidRPr="00F11E57">
        <w:rPr>
          <w:rFonts w:ascii="Lucida Sans Unicode" w:hAnsi="Lucida Sans Unicode"/>
          <w:lang w:val="en-GB"/>
        </w:rPr>
        <w:t>Under the CRS, the UAE has opted for the “widest approach”:</w:t>
      </w:r>
    </w:p>
    <w:p w14:paraId="63A1F05E" w14:textId="21D82E1F" w:rsidR="00707A1D" w:rsidRPr="00F11E57" w:rsidRDefault="00707A1D" w:rsidP="00707A1D">
      <w:pPr>
        <w:pStyle w:val="ListParagraph"/>
        <w:numPr>
          <w:ilvl w:val="2"/>
          <w:numId w:val="25"/>
        </w:numPr>
        <w:tabs>
          <w:tab w:val="left" w:pos="980"/>
          <w:tab w:val="left" w:pos="981"/>
        </w:tabs>
        <w:spacing w:before="1" w:line="274" w:lineRule="auto"/>
        <w:ind w:right="640"/>
        <w:rPr>
          <w:rFonts w:ascii="Lucida Sans Unicode" w:hAnsi="Lucida Sans Unicode"/>
          <w:lang w:val="en-GB"/>
        </w:rPr>
      </w:pPr>
      <w:r w:rsidRPr="00F11E57">
        <w:rPr>
          <w:rFonts w:ascii="Lucida Sans Unicode" w:hAnsi="Lucida Sans Unicode"/>
          <w:lang w:val="en-GB"/>
        </w:rPr>
        <w:t xml:space="preserve">Reporting Financial Institutions are required to perform due diligence procedures on </w:t>
      </w:r>
      <w:r w:rsidRPr="00F11E57">
        <w:rPr>
          <w:rFonts w:ascii="Lucida Sans Unicode" w:hAnsi="Lucida Sans Unicode"/>
          <w:b/>
          <w:lang w:val="en-GB"/>
        </w:rPr>
        <w:t>all account</w:t>
      </w:r>
      <w:r w:rsidR="006450A0" w:rsidRPr="00F11E57">
        <w:rPr>
          <w:rFonts w:ascii="Lucida Sans Unicode" w:hAnsi="Lucida Sans Unicode"/>
          <w:b/>
          <w:lang w:val="en-GB"/>
        </w:rPr>
        <w:t>s</w:t>
      </w:r>
      <w:r w:rsidRPr="00F11E57">
        <w:rPr>
          <w:rFonts w:ascii="Lucida Sans Unicode" w:hAnsi="Lucida Sans Unicode"/>
          <w:b/>
          <w:lang w:val="en-GB"/>
        </w:rPr>
        <w:t xml:space="preserve"> </w:t>
      </w:r>
      <w:r w:rsidR="006450A0" w:rsidRPr="00F11E57">
        <w:rPr>
          <w:rFonts w:ascii="Lucida Sans Unicode" w:hAnsi="Lucida Sans Unicode"/>
          <w:b/>
          <w:lang w:val="en-GB"/>
        </w:rPr>
        <w:t xml:space="preserve">held by an account holder (or a controlling person in case of a passive NFE) who is </w:t>
      </w:r>
      <w:r w:rsidRPr="00F11E57">
        <w:rPr>
          <w:rFonts w:ascii="Lucida Sans Unicode" w:hAnsi="Lucida Sans Unicode"/>
          <w:b/>
          <w:lang w:val="en-GB"/>
        </w:rPr>
        <w:t>resident for tax purposes in a jurisdiction other than the USA</w:t>
      </w:r>
      <w:r w:rsidRPr="00F11E57">
        <w:rPr>
          <w:rFonts w:ascii="Lucida Sans Unicode" w:hAnsi="Lucida Sans Unicode"/>
          <w:lang w:val="en-GB"/>
        </w:rPr>
        <w:t xml:space="preserve">. </w:t>
      </w:r>
    </w:p>
    <w:p w14:paraId="568F3DA8" w14:textId="6B7DCD95" w:rsidR="00707A1D" w:rsidRPr="00F11E57" w:rsidRDefault="00707A1D" w:rsidP="00707A1D">
      <w:pPr>
        <w:pStyle w:val="ListParagraph"/>
        <w:numPr>
          <w:ilvl w:val="2"/>
          <w:numId w:val="25"/>
        </w:numPr>
        <w:tabs>
          <w:tab w:val="left" w:pos="980"/>
          <w:tab w:val="left" w:pos="981"/>
        </w:tabs>
        <w:spacing w:before="1" w:line="274" w:lineRule="auto"/>
        <w:ind w:right="640"/>
        <w:rPr>
          <w:rFonts w:ascii="Lucida Sans Unicode" w:hAnsi="Lucida Sans Unicode"/>
          <w:lang w:val="en-GB"/>
        </w:rPr>
      </w:pPr>
      <w:r w:rsidRPr="00F11E57">
        <w:rPr>
          <w:rFonts w:ascii="Lucida Sans Unicode" w:hAnsi="Lucida Sans Unicode"/>
          <w:lang w:val="en-GB"/>
        </w:rPr>
        <w:t xml:space="preserve">Reporting Financial Institutions are required to report information on </w:t>
      </w:r>
      <w:r w:rsidRPr="00F11E57">
        <w:rPr>
          <w:rFonts w:ascii="Lucida Sans Unicode" w:hAnsi="Lucida Sans Unicode"/>
          <w:b/>
          <w:lang w:val="en-GB"/>
        </w:rPr>
        <w:t xml:space="preserve">all accounts held by an account holder </w:t>
      </w:r>
      <w:r w:rsidR="001B5860" w:rsidRPr="00F11E57">
        <w:rPr>
          <w:rFonts w:ascii="Lucida Sans Unicode" w:hAnsi="Lucida Sans Unicode"/>
          <w:b/>
          <w:lang w:val="en-GB"/>
        </w:rPr>
        <w:t xml:space="preserve">(or </w:t>
      </w:r>
      <w:r w:rsidR="006450A0" w:rsidRPr="00F11E57">
        <w:rPr>
          <w:rFonts w:ascii="Lucida Sans Unicode" w:hAnsi="Lucida Sans Unicode"/>
          <w:b/>
          <w:lang w:val="en-GB"/>
        </w:rPr>
        <w:t>a</w:t>
      </w:r>
      <w:r w:rsidR="001B5860" w:rsidRPr="00F11E57">
        <w:rPr>
          <w:rFonts w:ascii="Lucida Sans Unicode" w:hAnsi="Lucida Sans Unicode"/>
          <w:b/>
          <w:lang w:val="en-GB"/>
        </w:rPr>
        <w:t xml:space="preserve"> controlling person</w:t>
      </w:r>
      <w:r w:rsidR="006450A0" w:rsidRPr="00F11E57">
        <w:rPr>
          <w:rFonts w:ascii="Lucida Sans Unicode" w:hAnsi="Lucida Sans Unicode"/>
          <w:b/>
          <w:lang w:val="en-GB"/>
        </w:rPr>
        <w:t xml:space="preserve"> in case of a passive NFE</w:t>
      </w:r>
      <w:r w:rsidR="001B5860" w:rsidRPr="00F11E57">
        <w:rPr>
          <w:rFonts w:ascii="Lucida Sans Unicode" w:hAnsi="Lucida Sans Unicode"/>
          <w:b/>
          <w:lang w:val="en-GB"/>
        </w:rPr>
        <w:t xml:space="preserve">) </w:t>
      </w:r>
      <w:r w:rsidRPr="00F11E57">
        <w:rPr>
          <w:rFonts w:ascii="Lucida Sans Unicode" w:hAnsi="Lucida Sans Unicode"/>
          <w:b/>
          <w:lang w:val="en-GB"/>
        </w:rPr>
        <w:t>who is resident for tax purposes in a jurisdiction other than the USA or UAE jurisdiction</w:t>
      </w:r>
      <w:r w:rsidRPr="00F11E57">
        <w:rPr>
          <w:rFonts w:ascii="Lucida Sans Unicode" w:hAnsi="Lucida Sans Unicode"/>
          <w:lang w:val="en-GB"/>
        </w:rPr>
        <w:t xml:space="preserve">. </w:t>
      </w:r>
    </w:p>
    <w:p w14:paraId="503D4B5E" w14:textId="77777777" w:rsidR="00707A1D" w:rsidRPr="00F11E57" w:rsidRDefault="00707A1D" w:rsidP="00707A1D">
      <w:pPr>
        <w:pStyle w:val="ListParagraph"/>
        <w:numPr>
          <w:ilvl w:val="2"/>
          <w:numId w:val="25"/>
        </w:numPr>
        <w:tabs>
          <w:tab w:val="left" w:pos="980"/>
          <w:tab w:val="left" w:pos="981"/>
        </w:tabs>
        <w:spacing w:before="1" w:line="274" w:lineRule="auto"/>
        <w:ind w:right="640"/>
        <w:rPr>
          <w:rFonts w:ascii="Lucida Sans Unicode" w:hAnsi="Lucida Sans Unicode"/>
          <w:lang w:val="en-GB"/>
        </w:rPr>
      </w:pPr>
      <w:r w:rsidRPr="00F11E57">
        <w:rPr>
          <w:rFonts w:ascii="Lucida Sans Unicode" w:hAnsi="Lucida Sans Unicode"/>
          <w:lang w:val="en-GB"/>
        </w:rPr>
        <w:t>The USA is excluded because jurisdictions will be reporting to the USA under</w:t>
      </w:r>
      <w:r w:rsidRPr="00F11E57">
        <w:rPr>
          <w:rFonts w:ascii="Lucida Sans Unicode" w:hAnsi="Lucida Sans Unicode"/>
          <w:spacing w:val="-2"/>
          <w:lang w:val="en-GB"/>
        </w:rPr>
        <w:t xml:space="preserve"> </w:t>
      </w:r>
      <w:r w:rsidRPr="00F11E57">
        <w:rPr>
          <w:rFonts w:ascii="Lucida Sans Unicode" w:hAnsi="Lucida Sans Unicode"/>
          <w:lang w:val="en-GB"/>
        </w:rPr>
        <w:t>FATCA.</w:t>
      </w:r>
    </w:p>
    <w:p w14:paraId="5A814038" w14:textId="77777777" w:rsidR="00707A1D" w:rsidRPr="00F11E57" w:rsidRDefault="00707A1D" w:rsidP="00707A1D">
      <w:pPr>
        <w:pStyle w:val="Heading2"/>
        <w:numPr>
          <w:ilvl w:val="1"/>
          <w:numId w:val="25"/>
        </w:numPr>
        <w:tabs>
          <w:tab w:val="left" w:pos="905"/>
          <w:tab w:val="left" w:pos="906"/>
        </w:tabs>
        <w:spacing w:before="1" w:line="274" w:lineRule="auto"/>
        <w:ind w:left="906" w:hanging="646"/>
        <w:rPr>
          <w:rFonts w:ascii="Lucida Sans Unicode"/>
          <w:lang w:val="en-GB"/>
        </w:rPr>
      </w:pPr>
      <w:bookmarkStart w:id="13" w:name="_Toc448011181"/>
      <w:r w:rsidRPr="00F11E57">
        <w:rPr>
          <w:rFonts w:ascii="Lucida Sans Unicode"/>
          <w:color w:val="B89207"/>
          <w:lang w:val="en-GB"/>
        </w:rPr>
        <w:t>CRS</w:t>
      </w:r>
      <w:r w:rsidRPr="00F11E57">
        <w:rPr>
          <w:rFonts w:ascii="Lucida Sans Unicode"/>
          <w:color w:val="B89207"/>
          <w:spacing w:val="-2"/>
          <w:lang w:val="en-GB"/>
        </w:rPr>
        <w:t xml:space="preserve"> </w:t>
      </w:r>
      <w:r w:rsidRPr="00F11E57">
        <w:rPr>
          <w:rFonts w:ascii="Lucida Sans Unicode"/>
          <w:color w:val="B89207"/>
          <w:lang w:val="en-GB"/>
        </w:rPr>
        <w:t>Options</w:t>
      </w:r>
      <w:bookmarkEnd w:id="13"/>
    </w:p>
    <w:tbl>
      <w:tblPr>
        <w:tblW w:w="0" w:type="auto"/>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3"/>
        <w:gridCol w:w="6800"/>
        <w:gridCol w:w="1635"/>
      </w:tblGrid>
      <w:tr w:rsidR="00707A1D" w:rsidRPr="00F11E57" w14:paraId="0854F51F" w14:textId="77777777" w:rsidTr="00FB67C8">
        <w:trPr>
          <w:trHeight w:val="458"/>
        </w:trPr>
        <w:tc>
          <w:tcPr>
            <w:tcW w:w="583" w:type="dxa"/>
            <w:tcBorders>
              <w:top w:val="nil"/>
              <w:left w:val="nil"/>
              <w:bottom w:val="nil"/>
              <w:right w:val="nil"/>
            </w:tcBorders>
            <w:shd w:val="clear" w:color="auto" w:fill="000000"/>
          </w:tcPr>
          <w:p w14:paraId="2B8993D7" w14:textId="77777777" w:rsidR="00707A1D" w:rsidRPr="00F11E57" w:rsidRDefault="00707A1D" w:rsidP="00FB67C8">
            <w:pPr>
              <w:pStyle w:val="TableParagraph"/>
              <w:spacing w:before="1" w:line="274" w:lineRule="auto"/>
              <w:ind w:left="112"/>
              <w:rPr>
                <w:rFonts w:ascii="Lucida Sans Unicode"/>
                <w:b/>
                <w:lang w:val="en-GB"/>
              </w:rPr>
            </w:pPr>
            <w:r w:rsidRPr="00F11E57">
              <w:rPr>
                <w:rFonts w:ascii="Lucida Sans Unicode"/>
                <w:b/>
                <w:color w:val="FFFFFF"/>
                <w:lang w:val="en-GB"/>
              </w:rPr>
              <w:t>No.</w:t>
            </w:r>
          </w:p>
        </w:tc>
        <w:tc>
          <w:tcPr>
            <w:tcW w:w="6800" w:type="dxa"/>
            <w:tcBorders>
              <w:top w:val="nil"/>
              <w:left w:val="nil"/>
              <w:bottom w:val="nil"/>
              <w:right w:val="nil"/>
            </w:tcBorders>
            <w:shd w:val="clear" w:color="auto" w:fill="000000"/>
          </w:tcPr>
          <w:p w14:paraId="57F95D5F" w14:textId="77777777" w:rsidR="00707A1D" w:rsidRPr="00F11E57" w:rsidRDefault="00707A1D" w:rsidP="00FB67C8">
            <w:pPr>
              <w:pStyle w:val="TableParagraph"/>
              <w:spacing w:before="1" w:line="274" w:lineRule="auto"/>
              <w:ind w:left="112"/>
              <w:rPr>
                <w:rFonts w:ascii="Lucida Sans Unicode"/>
                <w:b/>
                <w:lang w:val="en-GB"/>
              </w:rPr>
            </w:pPr>
            <w:r w:rsidRPr="00F11E57">
              <w:rPr>
                <w:rFonts w:ascii="Lucida Sans Unicode"/>
                <w:b/>
                <w:color w:val="FFFFFF"/>
                <w:lang w:val="en-GB"/>
              </w:rPr>
              <w:t>OPTIONS</w:t>
            </w:r>
          </w:p>
        </w:tc>
        <w:tc>
          <w:tcPr>
            <w:tcW w:w="1635" w:type="dxa"/>
            <w:tcBorders>
              <w:top w:val="nil"/>
              <w:left w:val="nil"/>
              <w:bottom w:val="nil"/>
              <w:right w:val="nil"/>
            </w:tcBorders>
            <w:shd w:val="clear" w:color="auto" w:fill="000000"/>
          </w:tcPr>
          <w:p w14:paraId="147FDD2E" w14:textId="77777777" w:rsidR="00707A1D" w:rsidRPr="00F11E57" w:rsidRDefault="00707A1D" w:rsidP="00FB67C8">
            <w:pPr>
              <w:pStyle w:val="TableParagraph"/>
              <w:spacing w:before="1" w:line="274" w:lineRule="auto"/>
              <w:ind w:left="112"/>
              <w:rPr>
                <w:rFonts w:ascii="Lucida Sans Unicode"/>
                <w:b/>
                <w:lang w:val="en-GB"/>
              </w:rPr>
            </w:pPr>
            <w:r w:rsidRPr="00F11E57">
              <w:rPr>
                <w:rFonts w:ascii="Lucida Sans Unicode"/>
                <w:b/>
                <w:color w:val="FFFFFF"/>
                <w:lang w:val="en-GB"/>
              </w:rPr>
              <w:t>COMMENTS</w:t>
            </w:r>
          </w:p>
        </w:tc>
      </w:tr>
      <w:tr w:rsidR="00707A1D" w:rsidRPr="00F11E57" w14:paraId="355A3F0A" w14:textId="77777777" w:rsidTr="00FB67C8">
        <w:trPr>
          <w:trHeight w:val="467"/>
        </w:trPr>
        <w:tc>
          <w:tcPr>
            <w:tcW w:w="583" w:type="dxa"/>
            <w:tcBorders>
              <w:top w:val="nil"/>
            </w:tcBorders>
          </w:tcPr>
          <w:p w14:paraId="3E4C5DB6" w14:textId="77777777" w:rsidR="00707A1D" w:rsidRPr="00F11E57" w:rsidRDefault="00707A1D" w:rsidP="00FB67C8">
            <w:pPr>
              <w:pStyle w:val="TableParagraph"/>
              <w:spacing w:before="1" w:line="274" w:lineRule="auto"/>
              <w:rPr>
                <w:lang w:val="en-GB"/>
              </w:rPr>
            </w:pPr>
            <w:r w:rsidRPr="00F11E57">
              <w:rPr>
                <w:lang w:val="en-GB"/>
              </w:rPr>
              <w:t>1.</w:t>
            </w:r>
          </w:p>
        </w:tc>
        <w:tc>
          <w:tcPr>
            <w:tcW w:w="6800" w:type="dxa"/>
            <w:tcBorders>
              <w:top w:val="nil"/>
            </w:tcBorders>
          </w:tcPr>
          <w:p w14:paraId="12B3D27B" w14:textId="77777777" w:rsidR="00707A1D" w:rsidRPr="00F11E57" w:rsidRDefault="00707A1D" w:rsidP="00FB67C8">
            <w:pPr>
              <w:pStyle w:val="TableParagraph"/>
              <w:spacing w:before="1" w:line="274" w:lineRule="auto"/>
              <w:rPr>
                <w:lang w:val="en-GB"/>
              </w:rPr>
            </w:pPr>
            <w:r w:rsidRPr="00F11E57">
              <w:rPr>
                <w:lang w:val="en-GB"/>
              </w:rPr>
              <w:t>Alternative approach to calculating account balances</w:t>
            </w:r>
          </w:p>
        </w:tc>
        <w:tc>
          <w:tcPr>
            <w:tcW w:w="1635" w:type="dxa"/>
            <w:tcBorders>
              <w:top w:val="nil"/>
            </w:tcBorders>
          </w:tcPr>
          <w:p w14:paraId="179E777A"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NO</w:t>
            </w:r>
          </w:p>
        </w:tc>
      </w:tr>
      <w:tr w:rsidR="00707A1D" w:rsidRPr="00F11E57" w14:paraId="33A3A9D6" w14:textId="77777777" w:rsidTr="00FB67C8">
        <w:trPr>
          <w:trHeight w:val="457"/>
        </w:trPr>
        <w:tc>
          <w:tcPr>
            <w:tcW w:w="583" w:type="dxa"/>
          </w:tcPr>
          <w:p w14:paraId="6231338E" w14:textId="77777777" w:rsidR="00707A1D" w:rsidRPr="00F11E57" w:rsidRDefault="00707A1D" w:rsidP="00FB67C8">
            <w:pPr>
              <w:pStyle w:val="TableParagraph"/>
              <w:spacing w:before="1" w:line="274" w:lineRule="auto"/>
              <w:rPr>
                <w:lang w:val="en-GB"/>
              </w:rPr>
            </w:pPr>
            <w:r w:rsidRPr="00F11E57">
              <w:rPr>
                <w:lang w:val="en-GB"/>
              </w:rPr>
              <w:t>2.</w:t>
            </w:r>
          </w:p>
        </w:tc>
        <w:tc>
          <w:tcPr>
            <w:tcW w:w="6800" w:type="dxa"/>
          </w:tcPr>
          <w:p w14:paraId="1493AF06" w14:textId="77777777" w:rsidR="00707A1D" w:rsidRPr="00F11E57" w:rsidRDefault="00707A1D" w:rsidP="00FB67C8">
            <w:pPr>
              <w:pStyle w:val="TableParagraph"/>
              <w:spacing w:before="1" w:line="274" w:lineRule="auto"/>
              <w:rPr>
                <w:lang w:val="en-GB"/>
              </w:rPr>
            </w:pPr>
            <w:r w:rsidRPr="00F11E57">
              <w:rPr>
                <w:lang w:val="en-GB"/>
              </w:rPr>
              <w:t>Use of other reporting period</w:t>
            </w:r>
          </w:p>
        </w:tc>
        <w:tc>
          <w:tcPr>
            <w:tcW w:w="1635" w:type="dxa"/>
          </w:tcPr>
          <w:p w14:paraId="00AE23E5"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NO</w:t>
            </w:r>
          </w:p>
        </w:tc>
      </w:tr>
      <w:tr w:rsidR="00707A1D" w:rsidRPr="00F11E57" w14:paraId="721296B2" w14:textId="77777777" w:rsidTr="00FB67C8">
        <w:trPr>
          <w:trHeight w:val="458"/>
        </w:trPr>
        <w:tc>
          <w:tcPr>
            <w:tcW w:w="583" w:type="dxa"/>
          </w:tcPr>
          <w:p w14:paraId="28B73F93" w14:textId="77777777" w:rsidR="00707A1D" w:rsidRPr="00F11E57" w:rsidRDefault="00707A1D" w:rsidP="00FB67C8">
            <w:pPr>
              <w:pStyle w:val="TableParagraph"/>
              <w:spacing w:before="1" w:line="274" w:lineRule="auto"/>
              <w:rPr>
                <w:lang w:val="en-GB"/>
              </w:rPr>
            </w:pPr>
            <w:r w:rsidRPr="00F11E57">
              <w:rPr>
                <w:lang w:val="en-GB"/>
              </w:rPr>
              <w:t>3.</w:t>
            </w:r>
          </w:p>
        </w:tc>
        <w:tc>
          <w:tcPr>
            <w:tcW w:w="6800" w:type="dxa"/>
          </w:tcPr>
          <w:p w14:paraId="190EBEA9" w14:textId="77777777" w:rsidR="00707A1D" w:rsidRPr="00F11E57" w:rsidRDefault="00707A1D" w:rsidP="00FB67C8">
            <w:pPr>
              <w:pStyle w:val="TableParagraph"/>
              <w:spacing w:before="1" w:line="274" w:lineRule="auto"/>
              <w:rPr>
                <w:lang w:val="en-GB"/>
              </w:rPr>
            </w:pPr>
            <w:r w:rsidRPr="00F11E57">
              <w:rPr>
                <w:lang w:val="en-GB"/>
              </w:rPr>
              <w:t>Filing deadlines</w:t>
            </w:r>
          </w:p>
        </w:tc>
        <w:tc>
          <w:tcPr>
            <w:tcW w:w="1635" w:type="dxa"/>
          </w:tcPr>
          <w:p w14:paraId="65B529D4"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30</w:t>
            </w:r>
            <w:r w:rsidRPr="00F11E57">
              <w:rPr>
                <w:rFonts w:ascii="Lucida Sans Unicode"/>
                <w:position w:val="5"/>
                <w:sz w:val="14"/>
                <w:lang w:val="en-GB"/>
              </w:rPr>
              <w:t xml:space="preserve">th </w:t>
            </w:r>
            <w:r w:rsidRPr="00F11E57">
              <w:rPr>
                <w:rFonts w:ascii="Lucida Sans Unicode"/>
                <w:lang w:val="en-GB"/>
              </w:rPr>
              <w:t>June</w:t>
            </w:r>
          </w:p>
        </w:tc>
      </w:tr>
      <w:tr w:rsidR="00707A1D" w:rsidRPr="00F11E57" w14:paraId="6A08CEE4" w14:textId="77777777" w:rsidTr="00FB67C8">
        <w:trPr>
          <w:trHeight w:val="458"/>
        </w:trPr>
        <w:tc>
          <w:tcPr>
            <w:tcW w:w="583" w:type="dxa"/>
          </w:tcPr>
          <w:p w14:paraId="4E2C29BE" w14:textId="77777777" w:rsidR="00707A1D" w:rsidRPr="00F11E57" w:rsidRDefault="00707A1D" w:rsidP="00FB67C8">
            <w:pPr>
              <w:pStyle w:val="TableParagraph"/>
              <w:spacing w:before="1" w:line="274" w:lineRule="auto"/>
              <w:rPr>
                <w:lang w:val="en-GB"/>
              </w:rPr>
            </w:pPr>
            <w:r w:rsidRPr="00F11E57">
              <w:rPr>
                <w:lang w:val="en-GB"/>
              </w:rPr>
              <w:t>4.</w:t>
            </w:r>
          </w:p>
        </w:tc>
        <w:tc>
          <w:tcPr>
            <w:tcW w:w="6800" w:type="dxa"/>
          </w:tcPr>
          <w:p w14:paraId="0F4A3A43" w14:textId="77777777" w:rsidR="00707A1D" w:rsidRPr="00F11E57" w:rsidRDefault="00707A1D" w:rsidP="00FB67C8">
            <w:pPr>
              <w:pStyle w:val="TableParagraph"/>
              <w:spacing w:before="1" w:line="274" w:lineRule="auto"/>
              <w:rPr>
                <w:lang w:val="en-GB"/>
              </w:rPr>
            </w:pPr>
            <w:r w:rsidRPr="00F11E57">
              <w:rPr>
                <w:lang w:val="en-GB"/>
              </w:rPr>
              <w:t>Filing Nil returns</w:t>
            </w:r>
          </w:p>
        </w:tc>
        <w:tc>
          <w:tcPr>
            <w:tcW w:w="1635" w:type="dxa"/>
          </w:tcPr>
          <w:p w14:paraId="2DA9E6D2"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2602DCD6" w14:textId="77777777" w:rsidTr="00FB67C8">
        <w:trPr>
          <w:trHeight w:val="537"/>
        </w:trPr>
        <w:tc>
          <w:tcPr>
            <w:tcW w:w="583" w:type="dxa"/>
          </w:tcPr>
          <w:p w14:paraId="6EF60167" w14:textId="77777777" w:rsidR="00707A1D" w:rsidRPr="00F11E57" w:rsidRDefault="00707A1D" w:rsidP="00FB67C8">
            <w:pPr>
              <w:pStyle w:val="TableParagraph"/>
              <w:spacing w:before="1" w:line="274" w:lineRule="auto"/>
              <w:rPr>
                <w:lang w:val="en-GB"/>
              </w:rPr>
            </w:pPr>
            <w:r w:rsidRPr="00F11E57">
              <w:rPr>
                <w:lang w:val="en-GB"/>
              </w:rPr>
              <w:t>5.</w:t>
            </w:r>
          </w:p>
        </w:tc>
        <w:tc>
          <w:tcPr>
            <w:tcW w:w="6800" w:type="dxa"/>
          </w:tcPr>
          <w:p w14:paraId="6EA0C0EE" w14:textId="77777777" w:rsidR="00707A1D" w:rsidRPr="00F11E57" w:rsidRDefault="00707A1D" w:rsidP="00FB67C8">
            <w:pPr>
              <w:pStyle w:val="TableParagraph"/>
              <w:spacing w:before="1" w:line="274" w:lineRule="auto"/>
              <w:rPr>
                <w:lang w:val="en-GB"/>
              </w:rPr>
            </w:pPr>
            <w:r w:rsidRPr="00F11E57">
              <w:rPr>
                <w:lang w:val="en-GB"/>
              </w:rPr>
              <w:t>Allowing third party service providers to fulfil the obligations on behalf of</w:t>
            </w:r>
          </w:p>
          <w:p w14:paraId="281655AF" w14:textId="77777777" w:rsidR="00707A1D" w:rsidRPr="00F11E57" w:rsidRDefault="00707A1D" w:rsidP="00FB67C8">
            <w:pPr>
              <w:pStyle w:val="TableParagraph"/>
              <w:spacing w:before="1" w:line="274" w:lineRule="auto"/>
              <w:rPr>
                <w:lang w:val="en-GB"/>
              </w:rPr>
            </w:pPr>
            <w:r w:rsidRPr="00F11E57">
              <w:rPr>
                <w:lang w:val="en-GB"/>
              </w:rPr>
              <w:t>the Financial Institutions</w:t>
            </w:r>
          </w:p>
        </w:tc>
        <w:tc>
          <w:tcPr>
            <w:tcW w:w="1635" w:type="dxa"/>
          </w:tcPr>
          <w:p w14:paraId="7BE1F1B6"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7FA10108" w14:textId="77777777" w:rsidTr="00FB67C8">
        <w:trPr>
          <w:trHeight w:val="537"/>
        </w:trPr>
        <w:tc>
          <w:tcPr>
            <w:tcW w:w="583" w:type="dxa"/>
          </w:tcPr>
          <w:p w14:paraId="56DED209" w14:textId="77777777" w:rsidR="00707A1D" w:rsidRPr="00F11E57" w:rsidRDefault="00707A1D" w:rsidP="00FB67C8">
            <w:pPr>
              <w:pStyle w:val="TableParagraph"/>
              <w:spacing w:before="1" w:line="274" w:lineRule="auto"/>
              <w:rPr>
                <w:lang w:val="en-GB"/>
              </w:rPr>
            </w:pPr>
            <w:r w:rsidRPr="00F11E57">
              <w:rPr>
                <w:lang w:val="en-GB"/>
              </w:rPr>
              <w:t>6.</w:t>
            </w:r>
          </w:p>
        </w:tc>
        <w:tc>
          <w:tcPr>
            <w:tcW w:w="6800" w:type="dxa"/>
          </w:tcPr>
          <w:p w14:paraId="3D2C8A5F" w14:textId="77777777" w:rsidR="00707A1D" w:rsidRPr="00F11E57" w:rsidRDefault="00707A1D" w:rsidP="00FB67C8">
            <w:pPr>
              <w:pStyle w:val="TableParagraph"/>
              <w:spacing w:before="1" w:line="274" w:lineRule="auto"/>
              <w:rPr>
                <w:lang w:val="en-GB"/>
              </w:rPr>
            </w:pPr>
            <w:r w:rsidRPr="00F11E57">
              <w:rPr>
                <w:lang w:val="en-GB"/>
              </w:rPr>
              <w:t>Allowing the due diligence procedures for New Accounts to be used for</w:t>
            </w:r>
          </w:p>
          <w:p w14:paraId="70C535F3" w14:textId="77777777" w:rsidR="00707A1D" w:rsidRPr="00F11E57" w:rsidRDefault="00707A1D" w:rsidP="00FB67C8">
            <w:pPr>
              <w:pStyle w:val="TableParagraph"/>
              <w:spacing w:before="1" w:line="274" w:lineRule="auto"/>
              <w:rPr>
                <w:lang w:val="en-GB"/>
              </w:rPr>
            </w:pPr>
            <w:r w:rsidRPr="00F11E57">
              <w:rPr>
                <w:lang w:val="en-GB"/>
              </w:rPr>
              <w:t>Pre</w:t>
            </w:r>
            <w:r w:rsidRPr="00F11E57">
              <w:rPr>
                <w:lang w:val="de-DE"/>
              </w:rPr>
              <w:t>-</w:t>
            </w:r>
            <w:r w:rsidRPr="00F11E57">
              <w:rPr>
                <w:lang w:val="en-GB"/>
              </w:rPr>
              <w:t>existing Accounts</w:t>
            </w:r>
          </w:p>
        </w:tc>
        <w:tc>
          <w:tcPr>
            <w:tcW w:w="1635" w:type="dxa"/>
          </w:tcPr>
          <w:p w14:paraId="58B3AA81"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2B8BF540" w14:textId="77777777" w:rsidTr="00FB67C8">
        <w:trPr>
          <w:trHeight w:val="537"/>
        </w:trPr>
        <w:tc>
          <w:tcPr>
            <w:tcW w:w="583" w:type="dxa"/>
          </w:tcPr>
          <w:p w14:paraId="5EB19EDE" w14:textId="77777777" w:rsidR="00707A1D" w:rsidRPr="00F11E57" w:rsidRDefault="00707A1D" w:rsidP="00FB67C8">
            <w:pPr>
              <w:pStyle w:val="TableParagraph"/>
              <w:spacing w:before="1" w:line="274" w:lineRule="auto"/>
              <w:rPr>
                <w:lang w:val="en-GB"/>
              </w:rPr>
            </w:pPr>
            <w:r w:rsidRPr="00F11E57">
              <w:rPr>
                <w:lang w:val="en-GB"/>
              </w:rPr>
              <w:t>7.</w:t>
            </w:r>
          </w:p>
        </w:tc>
        <w:tc>
          <w:tcPr>
            <w:tcW w:w="6800" w:type="dxa"/>
          </w:tcPr>
          <w:p w14:paraId="5F289A5D" w14:textId="77777777" w:rsidR="00707A1D" w:rsidRPr="00F11E57" w:rsidRDefault="00707A1D" w:rsidP="00FB67C8">
            <w:pPr>
              <w:pStyle w:val="TableParagraph"/>
              <w:spacing w:before="1" w:line="274" w:lineRule="auto"/>
              <w:rPr>
                <w:lang w:val="en-GB"/>
              </w:rPr>
            </w:pPr>
            <w:r w:rsidRPr="00F11E57">
              <w:rPr>
                <w:lang w:val="en-GB"/>
              </w:rPr>
              <w:t>Allowing the due diligence procedures for High Value Accounts to be used</w:t>
            </w:r>
          </w:p>
          <w:p w14:paraId="33B6DB52" w14:textId="77777777" w:rsidR="00707A1D" w:rsidRPr="00F11E57" w:rsidRDefault="00707A1D" w:rsidP="00FB67C8">
            <w:pPr>
              <w:pStyle w:val="TableParagraph"/>
              <w:spacing w:before="1" w:line="274" w:lineRule="auto"/>
              <w:rPr>
                <w:lang w:val="en-GB"/>
              </w:rPr>
            </w:pPr>
            <w:r w:rsidRPr="00F11E57">
              <w:rPr>
                <w:lang w:val="en-GB"/>
              </w:rPr>
              <w:t>for Lower Value Accounts</w:t>
            </w:r>
          </w:p>
        </w:tc>
        <w:tc>
          <w:tcPr>
            <w:tcW w:w="1635" w:type="dxa"/>
          </w:tcPr>
          <w:p w14:paraId="0908A418"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0A86DC36" w14:textId="77777777" w:rsidTr="00FB67C8">
        <w:trPr>
          <w:trHeight w:val="457"/>
        </w:trPr>
        <w:tc>
          <w:tcPr>
            <w:tcW w:w="583" w:type="dxa"/>
          </w:tcPr>
          <w:p w14:paraId="334C6B7F" w14:textId="77777777" w:rsidR="00707A1D" w:rsidRPr="00F11E57" w:rsidRDefault="00707A1D" w:rsidP="00FB67C8">
            <w:pPr>
              <w:pStyle w:val="TableParagraph"/>
              <w:spacing w:before="1" w:line="274" w:lineRule="auto"/>
              <w:rPr>
                <w:lang w:val="en-GB"/>
              </w:rPr>
            </w:pPr>
            <w:r w:rsidRPr="00F11E57">
              <w:rPr>
                <w:lang w:val="en-GB"/>
              </w:rPr>
              <w:t>8.</w:t>
            </w:r>
          </w:p>
        </w:tc>
        <w:tc>
          <w:tcPr>
            <w:tcW w:w="6800" w:type="dxa"/>
          </w:tcPr>
          <w:p w14:paraId="15C4B969" w14:textId="77777777" w:rsidR="00707A1D" w:rsidRPr="00F11E57" w:rsidRDefault="00707A1D" w:rsidP="00FB67C8">
            <w:pPr>
              <w:pStyle w:val="TableParagraph"/>
              <w:spacing w:before="1" w:line="274" w:lineRule="auto"/>
              <w:rPr>
                <w:lang w:val="en-GB"/>
              </w:rPr>
            </w:pPr>
            <w:r w:rsidRPr="00F11E57">
              <w:rPr>
                <w:lang w:val="en-GB"/>
              </w:rPr>
              <w:t>Residence address test for Lower Value Accounts</w:t>
            </w:r>
          </w:p>
        </w:tc>
        <w:tc>
          <w:tcPr>
            <w:tcW w:w="1635" w:type="dxa"/>
          </w:tcPr>
          <w:p w14:paraId="3709B58E"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4474CE8D" w14:textId="77777777" w:rsidTr="00FB67C8">
        <w:trPr>
          <w:trHeight w:val="537"/>
        </w:trPr>
        <w:tc>
          <w:tcPr>
            <w:tcW w:w="583" w:type="dxa"/>
          </w:tcPr>
          <w:p w14:paraId="72BAAC00" w14:textId="77777777" w:rsidR="00707A1D" w:rsidRPr="00F11E57" w:rsidRDefault="00707A1D" w:rsidP="00FB67C8">
            <w:pPr>
              <w:pStyle w:val="TableParagraph"/>
              <w:spacing w:before="1" w:line="274" w:lineRule="auto"/>
              <w:rPr>
                <w:lang w:val="en-GB"/>
              </w:rPr>
            </w:pPr>
            <w:r w:rsidRPr="00F11E57">
              <w:rPr>
                <w:lang w:val="en-GB"/>
              </w:rPr>
              <w:t>9.</w:t>
            </w:r>
          </w:p>
        </w:tc>
        <w:tc>
          <w:tcPr>
            <w:tcW w:w="6800" w:type="dxa"/>
          </w:tcPr>
          <w:p w14:paraId="15CDCEE7" w14:textId="40774E8F" w:rsidR="00707A1D" w:rsidRPr="00F11E57" w:rsidRDefault="00707A1D" w:rsidP="001B5860">
            <w:pPr>
              <w:pStyle w:val="TableParagraph"/>
              <w:spacing w:before="1" w:line="274" w:lineRule="auto"/>
              <w:rPr>
                <w:lang w:val="en-GB"/>
              </w:rPr>
            </w:pPr>
            <w:r w:rsidRPr="00F11E57">
              <w:rPr>
                <w:lang w:val="en-GB"/>
              </w:rPr>
              <w:t xml:space="preserve">Exclusion from Due Diligence for Pre-existing Entity Accounts </w:t>
            </w:r>
            <w:r w:rsidR="001B5860" w:rsidRPr="00F11E57">
              <w:rPr>
                <w:lang w:val="en-GB"/>
              </w:rPr>
              <w:t xml:space="preserve">not exceeding </w:t>
            </w:r>
            <w:r w:rsidRPr="00F11E57">
              <w:rPr>
                <w:lang w:val="en-GB"/>
              </w:rPr>
              <w:t>$250,000</w:t>
            </w:r>
          </w:p>
        </w:tc>
        <w:tc>
          <w:tcPr>
            <w:tcW w:w="1635" w:type="dxa"/>
          </w:tcPr>
          <w:p w14:paraId="13873123"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580A8530" w14:textId="77777777" w:rsidTr="00FB67C8">
        <w:trPr>
          <w:trHeight w:val="537"/>
        </w:trPr>
        <w:tc>
          <w:tcPr>
            <w:tcW w:w="583" w:type="dxa"/>
          </w:tcPr>
          <w:p w14:paraId="5024D1F6" w14:textId="77777777" w:rsidR="00707A1D" w:rsidRPr="00F11E57" w:rsidRDefault="00707A1D" w:rsidP="00FB67C8">
            <w:pPr>
              <w:pStyle w:val="TableParagraph"/>
              <w:spacing w:before="1" w:line="274" w:lineRule="auto"/>
              <w:rPr>
                <w:lang w:val="en-GB"/>
              </w:rPr>
            </w:pPr>
            <w:r w:rsidRPr="00F11E57">
              <w:rPr>
                <w:lang w:val="en-GB"/>
              </w:rPr>
              <w:t>10.</w:t>
            </w:r>
          </w:p>
        </w:tc>
        <w:tc>
          <w:tcPr>
            <w:tcW w:w="6800" w:type="dxa"/>
          </w:tcPr>
          <w:p w14:paraId="2F97A2EF" w14:textId="77777777" w:rsidR="00707A1D" w:rsidRPr="00F11E57" w:rsidRDefault="00707A1D" w:rsidP="00FB67C8">
            <w:pPr>
              <w:pStyle w:val="TableParagraph"/>
              <w:spacing w:before="1" w:line="274" w:lineRule="auto"/>
              <w:rPr>
                <w:lang w:val="en-GB"/>
              </w:rPr>
            </w:pPr>
            <w:r w:rsidRPr="00F11E57">
              <w:rPr>
                <w:lang w:val="en-GB"/>
              </w:rPr>
              <w:t>Alternative documentation procedure for certain employer-sponsored</w:t>
            </w:r>
          </w:p>
          <w:p w14:paraId="6752791F" w14:textId="77777777" w:rsidR="00707A1D" w:rsidRPr="00F11E57" w:rsidRDefault="00707A1D" w:rsidP="00FB67C8">
            <w:pPr>
              <w:pStyle w:val="TableParagraph"/>
              <w:spacing w:before="1" w:line="274" w:lineRule="auto"/>
              <w:rPr>
                <w:lang w:val="en-GB"/>
              </w:rPr>
            </w:pPr>
            <w:r w:rsidRPr="00F11E57">
              <w:rPr>
                <w:lang w:val="en-GB"/>
              </w:rPr>
              <w:t>group insurance contracts or annuity contracts</w:t>
            </w:r>
          </w:p>
        </w:tc>
        <w:tc>
          <w:tcPr>
            <w:tcW w:w="1635" w:type="dxa"/>
          </w:tcPr>
          <w:p w14:paraId="61FD9358"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32377F32" w14:textId="77777777" w:rsidTr="00FB67C8">
        <w:trPr>
          <w:trHeight w:val="534"/>
        </w:trPr>
        <w:tc>
          <w:tcPr>
            <w:tcW w:w="583" w:type="dxa"/>
          </w:tcPr>
          <w:p w14:paraId="26A463B2" w14:textId="77777777" w:rsidR="00707A1D" w:rsidRPr="00F11E57" w:rsidRDefault="00707A1D" w:rsidP="00FB67C8">
            <w:pPr>
              <w:pStyle w:val="TableParagraph"/>
              <w:spacing w:before="1" w:line="274" w:lineRule="auto"/>
              <w:rPr>
                <w:lang w:val="en-GB"/>
              </w:rPr>
            </w:pPr>
            <w:r w:rsidRPr="00F11E57">
              <w:rPr>
                <w:lang w:val="en-GB"/>
              </w:rPr>
              <w:t>11.</w:t>
            </w:r>
          </w:p>
        </w:tc>
        <w:tc>
          <w:tcPr>
            <w:tcW w:w="6800" w:type="dxa"/>
          </w:tcPr>
          <w:p w14:paraId="0B9174AA" w14:textId="77777777" w:rsidR="00707A1D" w:rsidRPr="00F11E57" w:rsidRDefault="00707A1D" w:rsidP="00FB67C8">
            <w:pPr>
              <w:pStyle w:val="TableParagraph"/>
              <w:spacing w:before="1" w:line="274" w:lineRule="auto"/>
              <w:rPr>
                <w:lang w:val="en-GB"/>
              </w:rPr>
            </w:pPr>
            <w:r w:rsidRPr="00F11E57">
              <w:rPr>
                <w:lang w:val="en-GB"/>
              </w:rPr>
              <w:t>Allowing Financial Institutions to make greater use of existing</w:t>
            </w:r>
          </w:p>
          <w:p w14:paraId="66355ECB" w14:textId="77777777" w:rsidR="00707A1D" w:rsidRPr="00F11E57" w:rsidRDefault="00707A1D" w:rsidP="00FB67C8">
            <w:pPr>
              <w:pStyle w:val="TableParagraph"/>
              <w:spacing w:before="1" w:line="274" w:lineRule="auto"/>
              <w:rPr>
                <w:lang w:val="en-GB"/>
              </w:rPr>
            </w:pPr>
            <w:r w:rsidRPr="00F11E57">
              <w:rPr>
                <w:lang w:val="en-GB"/>
              </w:rPr>
              <w:t>standardised industry coding systems for the due diligence process</w:t>
            </w:r>
          </w:p>
        </w:tc>
        <w:tc>
          <w:tcPr>
            <w:tcW w:w="1635" w:type="dxa"/>
          </w:tcPr>
          <w:p w14:paraId="28828510"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02E09311" w14:textId="77777777" w:rsidTr="00FB67C8">
        <w:trPr>
          <w:trHeight w:val="458"/>
        </w:trPr>
        <w:tc>
          <w:tcPr>
            <w:tcW w:w="583" w:type="dxa"/>
          </w:tcPr>
          <w:p w14:paraId="1617667A" w14:textId="77777777" w:rsidR="00707A1D" w:rsidRPr="00F11E57" w:rsidRDefault="00707A1D" w:rsidP="00FB67C8">
            <w:pPr>
              <w:pStyle w:val="TableParagraph"/>
              <w:spacing w:before="1" w:line="274" w:lineRule="auto"/>
              <w:rPr>
                <w:lang w:val="en-GB"/>
              </w:rPr>
            </w:pPr>
            <w:r w:rsidRPr="00F11E57">
              <w:rPr>
                <w:lang w:val="en-GB"/>
              </w:rPr>
              <w:t>12.</w:t>
            </w:r>
          </w:p>
        </w:tc>
        <w:tc>
          <w:tcPr>
            <w:tcW w:w="6800" w:type="dxa"/>
          </w:tcPr>
          <w:p w14:paraId="1AC30A79" w14:textId="77777777" w:rsidR="00707A1D" w:rsidRPr="00F11E57" w:rsidRDefault="00707A1D" w:rsidP="00FB67C8">
            <w:pPr>
              <w:pStyle w:val="TableParagraph"/>
              <w:spacing w:before="1" w:line="274" w:lineRule="auto"/>
              <w:rPr>
                <w:lang w:val="en-GB"/>
              </w:rPr>
            </w:pPr>
            <w:r w:rsidRPr="00F11E57">
              <w:rPr>
                <w:lang w:val="en-GB"/>
              </w:rPr>
              <w:t>Currency translation</w:t>
            </w:r>
          </w:p>
        </w:tc>
        <w:tc>
          <w:tcPr>
            <w:tcW w:w="1635" w:type="dxa"/>
          </w:tcPr>
          <w:p w14:paraId="4775879E"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USE USD$</w:t>
            </w:r>
          </w:p>
        </w:tc>
      </w:tr>
      <w:tr w:rsidR="00707A1D" w:rsidRPr="00F11E57" w14:paraId="41B075DD" w14:textId="77777777" w:rsidTr="00FB67C8">
        <w:trPr>
          <w:trHeight w:val="647"/>
        </w:trPr>
        <w:tc>
          <w:tcPr>
            <w:tcW w:w="583" w:type="dxa"/>
          </w:tcPr>
          <w:p w14:paraId="7C769E68" w14:textId="77777777" w:rsidR="00707A1D" w:rsidRPr="00F11E57" w:rsidRDefault="00707A1D" w:rsidP="00FB67C8">
            <w:pPr>
              <w:pStyle w:val="TableParagraph"/>
              <w:spacing w:before="1" w:line="274" w:lineRule="auto"/>
              <w:ind w:left="0"/>
              <w:rPr>
                <w:rFonts w:ascii="Lucida Sans Unicode"/>
                <w:sz w:val="13"/>
                <w:lang w:val="en-GB"/>
              </w:rPr>
            </w:pPr>
          </w:p>
          <w:p w14:paraId="6DA7F491" w14:textId="77777777" w:rsidR="00707A1D" w:rsidRPr="00F11E57" w:rsidRDefault="00707A1D" w:rsidP="00FB67C8">
            <w:pPr>
              <w:pStyle w:val="TableParagraph"/>
              <w:spacing w:before="1" w:line="274" w:lineRule="auto"/>
              <w:rPr>
                <w:lang w:val="en-GB"/>
              </w:rPr>
            </w:pPr>
            <w:r w:rsidRPr="00F11E57">
              <w:rPr>
                <w:lang w:val="en-GB"/>
              </w:rPr>
              <w:t>13.</w:t>
            </w:r>
          </w:p>
        </w:tc>
        <w:tc>
          <w:tcPr>
            <w:tcW w:w="6800" w:type="dxa"/>
          </w:tcPr>
          <w:p w14:paraId="5F5E47F3" w14:textId="77777777" w:rsidR="00707A1D" w:rsidRPr="00F11E57" w:rsidRDefault="00707A1D" w:rsidP="00FB67C8">
            <w:pPr>
              <w:pStyle w:val="TableParagraph"/>
              <w:spacing w:before="1" w:line="274" w:lineRule="auto"/>
              <w:ind w:right="98"/>
              <w:rPr>
                <w:lang w:val="en-GB"/>
              </w:rPr>
            </w:pPr>
            <w:r w:rsidRPr="00F11E57">
              <w:rPr>
                <w:lang w:val="en-GB"/>
              </w:rPr>
              <w:t>Allow a Financial Institution to treat certain New Accounts held by pre-existing customers as a Pre-existing Account for due diligence purposes</w:t>
            </w:r>
          </w:p>
        </w:tc>
        <w:tc>
          <w:tcPr>
            <w:tcW w:w="1635" w:type="dxa"/>
          </w:tcPr>
          <w:p w14:paraId="3EFB170F"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699EAFEF" w14:textId="77777777" w:rsidTr="00FB67C8">
        <w:trPr>
          <w:trHeight w:val="458"/>
        </w:trPr>
        <w:tc>
          <w:tcPr>
            <w:tcW w:w="583" w:type="dxa"/>
          </w:tcPr>
          <w:p w14:paraId="29A669D7" w14:textId="77777777" w:rsidR="00707A1D" w:rsidRPr="00F11E57" w:rsidRDefault="00707A1D" w:rsidP="00FB67C8">
            <w:pPr>
              <w:pStyle w:val="TableParagraph"/>
              <w:spacing w:before="1" w:line="274" w:lineRule="auto"/>
              <w:rPr>
                <w:lang w:val="en-GB"/>
              </w:rPr>
            </w:pPr>
            <w:r w:rsidRPr="00F11E57">
              <w:rPr>
                <w:lang w:val="en-GB"/>
              </w:rPr>
              <w:t>14.</w:t>
            </w:r>
          </w:p>
        </w:tc>
        <w:tc>
          <w:tcPr>
            <w:tcW w:w="6800" w:type="dxa"/>
          </w:tcPr>
          <w:p w14:paraId="70372CAD" w14:textId="77777777" w:rsidR="00707A1D" w:rsidRPr="00F11E57" w:rsidRDefault="00707A1D" w:rsidP="00FB67C8">
            <w:pPr>
              <w:pStyle w:val="TableParagraph"/>
              <w:spacing w:before="1" w:line="274" w:lineRule="auto"/>
              <w:rPr>
                <w:lang w:val="en-GB"/>
              </w:rPr>
            </w:pPr>
            <w:r w:rsidRPr="00F11E57">
              <w:rPr>
                <w:lang w:val="en-GB"/>
              </w:rPr>
              <w:t>Expanded definition of Related Entity for Investment Entities</w:t>
            </w:r>
          </w:p>
        </w:tc>
        <w:tc>
          <w:tcPr>
            <w:tcW w:w="1635" w:type="dxa"/>
          </w:tcPr>
          <w:p w14:paraId="0FB9E54F"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YES</w:t>
            </w:r>
          </w:p>
        </w:tc>
      </w:tr>
      <w:tr w:rsidR="00707A1D" w:rsidRPr="00F11E57" w14:paraId="706F15B2" w14:textId="77777777" w:rsidTr="00FB67C8">
        <w:trPr>
          <w:trHeight w:val="537"/>
        </w:trPr>
        <w:tc>
          <w:tcPr>
            <w:tcW w:w="583" w:type="dxa"/>
          </w:tcPr>
          <w:p w14:paraId="07D0526C" w14:textId="77777777" w:rsidR="00707A1D" w:rsidRPr="00F11E57" w:rsidRDefault="00707A1D" w:rsidP="00FB67C8">
            <w:pPr>
              <w:pStyle w:val="TableParagraph"/>
              <w:spacing w:before="1" w:line="274" w:lineRule="auto"/>
              <w:rPr>
                <w:lang w:val="en-GB"/>
              </w:rPr>
            </w:pPr>
            <w:r w:rsidRPr="00F11E57">
              <w:rPr>
                <w:lang w:val="en-GB"/>
              </w:rPr>
              <w:t>15.</w:t>
            </w:r>
          </w:p>
        </w:tc>
        <w:tc>
          <w:tcPr>
            <w:tcW w:w="6800" w:type="dxa"/>
          </w:tcPr>
          <w:p w14:paraId="5DF6B09B" w14:textId="77777777" w:rsidR="00707A1D" w:rsidRPr="00F11E57" w:rsidRDefault="00707A1D" w:rsidP="00FB67C8">
            <w:pPr>
              <w:pStyle w:val="TableParagraph"/>
              <w:spacing w:before="1" w:line="274" w:lineRule="auto"/>
              <w:rPr>
                <w:lang w:val="en-GB"/>
              </w:rPr>
            </w:pPr>
            <w:r w:rsidRPr="00F11E57">
              <w:rPr>
                <w:lang w:val="en-GB"/>
              </w:rPr>
              <w:t>Grandfathering rule for bearer shares issued by Exempt Collective</w:t>
            </w:r>
          </w:p>
          <w:p w14:paraId="5BE20D10" w14:textId="77777777" w:rsidR="00707A1D" w:rsidRPr="00F11E57" w:rsidRDefault="00707A1D" w:rsidP="00FB67C8">
            <w:pPr>
              <w:pStyle w:val="TableParagraph"/>
              <w:spacing w:before="1" w:line="274" w:lineRule="auto"/>
              <w:rPr>
                <w:lang w:val="en-GB"/>
              </w:rPr>
            </w:pPr>
            <w:r w:rsidRPr="00F11E57">
              <w:rPr>
                <w:lang w:val="en-GB"/>
              </w:rPr>
              <w:t>Investment Vehicle</w:t>
            </w:r>
          </w:p>
        </w:tc>
        <w:tc>
          <w:tcPr>
            <w:tcW w:w="1635" w:type="dxa"/>
          </w:tcPr>
          <w:p w14:paraId="0A1C0817"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Removed</w:t>
            </w:r>
          </w:p>
        </w:tc>
      </w:tr>
      <w:tr w:rsidR="00707A1D" w:rsidRPr="00F11E57" w14:paraId="5CF0EC19" w14:textId="77777777" w:rsidTr="00FB67C8">
        <w:trPr>
          <w:trHeight w:val="460"/>
        </w:trPr>
        <w:tc>
          <w:tcPr>
            <w:tcW w:w="583" w:type="dxa"/>
          </w:tcPr>
          <w:p w14:paraId="70A04878" w14:textId="77777777" w:rsidR="00707A1D" w:rsidRPr="00F11E57" w:rsidRDefault="00707A1D" w:rsidP="00FB67C8">
            <w:pPr>
              <w:pStyle w:val="TableParagraph"/>
              <w:spacing w:before="1" w:line="274" w:lineRule="auto"/>
              <w:rPr>
                <w:lang w:val="en-GB"/>
              </w:rPr>
            </w:pPr>
            <w:r w:rsidRPr="00F11E57">
              <w:rPr>
                <w:lang w:val="en-GB"/>
              </w:rPr>
              <w:t>16.</w:t>
            </w:r>
          </w:p>
        </w:tc>
        <w:tc>
          <w:tcPr>
            <w:tcW w:w="6800" w:type="dxa"/>
          </w:tcPr>
          <w:p w14:paraId="500918B5" w14:textId="77777777" w:rsidR="00707A1D" w:rsidRPr="00F11E57" w:rsidRDefault="00707A1D" w:rsidP="00FB67C8">
            <w:pPr>
              <w:pStyle w:val="TableParagraph"/>
              <w:spacing w:before="1" w:line="274" w:lineRule="auto"/>
              <w:rPr>
                <w:lang w:val="en-GB"/>
              </w:rPr>
            </w:pPr>
            <w:r w:rsidRPr="00F11E57">
              <w:rPr>
                <w:lang w:val="en-GB"/>
              </w:rPr>
              <w:t>Phasing in the requirements to report gross proceeds</w:t>
            </w:r>
          </w:p>
        </w:tc>
        <w:tc>
          <w:tcPr>
            <w:tcW w:w="1635" w:type="dxa"/>
          </w:tcPr>
          <w:p w14:paraId="0805AE00" w14:textId="77777777" w:rsidR="00707A1D" w:rsidRPr="00F11E57" w:rsidRDefault="00707A1D" w:rsidP="00FB67C8">
            <w:pPr>
              <w:pStyle w:val="TableParagraph"/>
              <w:spacing w:before="1" w:line="274" w:lineRule="auto"/>
              <w:rPr>
                <w:rFonts w:ascii="Lucida Sans Unicode"/>
                <w:lang w:val="en-GB"/>
              </w:rPr>
            </w:pPr>
            <w:r w:rsidRPr="00F11E57">
              <w:rPr>
                <w:rFonts w:ascii="Lucida Sans Unicode"/>
                <w:lang w:val="en-GB"/>
              </w:rPr>
              <w:t>NO</w:t>
            </w:r>
          </w:p>
        </w:tc>
      </w:tr>
    </w:tbl>
    <w:p w14:paraId="530169D6" w14:textId="77777777" w:rsidR="00707A1D" w:rsidRPr="00F11E57" w:rsidRDefault="00707A1D">
      <w:pPr>
        <w:rPr>
          <w:rFonts w:ascii="Lucida Sans Unicode"/>
          <w:sz w:val="23"/>
          <w:lang w:val="en-GB"/>
        </w:rPr>
      </w:pPr>
    </w:p>
    <w:p w14:paraId="33307337" w14:textId="77777777" w:rsidR="00707A1D" w:rsidRPr="00F11E57" w:rsidRDefault="00707A1D">
      <w:pPr>
        <w:rPr>
          <w:rFonts w:ascii="Lucida Sans Unicode"/>
          <w:sz w:val="23"/>
          <w:lang w:val="en-GB"/>
        </w:rPr>
      </w:pPr>
      <w:r w:rsidRPr="00F11E57">
        <w:rPr>
          <w:rFonts w:ascii="Lucida Sans Unicode"/>
          <w:sz w:val="23"/>
          <w:lang w:val="en-GB"/>
        </w:rPr>
        <w:br w:type="page"/>
      </w:r>
    </w:p>
    <w:p w14:paraId="082EECD6" w14:textId="77777777" w:rsidR="00707A1D" w:rsidRPr="00F11E57" w:rsidRDefault="00707A1D" w:rsidP="00707A1D">
      <w:pPr>
        <w:pStyle w:val="Heading1"/>
        <w:numPr>
          <w:ilvl w:val="0"/>
          <w:numId w:val="30"/>
        </w:numPr>
        <w:spacing w:before="1" w:line="274" w:lineRule="auto"/>
        <w:ind w:left="720" w:hanging="450"/>
        <w:rPr>
          <w:rFonts w:ascii="Calibri"/>
          <w:color w:val="B89207"/>
          <w:lang w:val="en-GB"/>
        </w:rPr>
      </w:pPr>
      <w:bookmarkStart w:id="14" w:name="_Toc448011182"/>
      <w:r w:rsidRPr="00F11E57">
        <w:rPr>
          <w:rFonts w:ascii="Calibri"/>
          <w:color w:val="B89207"/>
          <w:lang w:val="en-GB"/>
        </w:rPr>
        <w:lastRenderedPageBreak/>
        <w:t>UAE TAX RESIDENCY DEFINITIONS</w:t>
      </w:r>
      <w:bookmarkEnd w:id="14"/>
    </w:p>
    <w:p w14:paraId="0B40923B" w14:textId="149A8351" w:rsidR="00707A1D" w:rsidRPr="00F11E57" w:rsidRDefault="00707A1D" w:rsidP="007B3C92">
      <w:pPr>
        <w:pStyle w:val="TableParagraph"/>
        <w:tabs>
          <w:tab w:val="left" w:pos="1909"/>
          <w:tab w:val="left" w:pos="1911"/>
          <w:tab w:val="left" w:pos="9403"/>
        </w:tabs>
        <w:spacing w:before="1" w:line="274" w:lineRule="auto"/>
        <w:ind w:left="284" w:right="124"/>
        <w:jc w:val="both"/>
        <w:rPr>
          <w:rFonts w:ascii="Lucida Sans Unicode" w:hAnsi="Lucida Sans Unicode" w:cs="Lucida Sans Unicode"/>
        </w:rPr>
      </w:pPr>
      <w:bookmarkStart w:id="15" w:name="_bookmark7"/>
      <w:bookmarkStart w:id="16" w:name="UAE_CRS_Regulations"/>
      <w:bookmarkEnd w:id="15"/>
      <w:bookmarkEnd w:id="16"/>
      <w:r w:rsidRPr="00F11E57">
        <w:rPr>
          <w:rFonts w:ascii="Lucida Sans Unicode"/>
          <w:lang w:val="en-GB"/>
        </w:rPr>
        <w:t xml:space="preserve">For the purposes of the reasonableness test, a Reporting Financial Institution may deem the statement of </w:t>
      </w:r>
      <w:r w:rsidRPr="00F11E57">
        <w:rPr>
          <w:rFonts w:ascii="Lucida Sans Unicode"/>
          <w:lang w:val="en-GB"/>
        </w:rPr>
        <w:t>“</w:t>
      </w:r>
      <w:r w:rsidRPr="00F11E57">
        <w:rPr>
          <w:rFonts w:ascii="Lucida Sans Unicode"/>
          <w:lang w:val="en-GB"/>
        </w:rPr>
        <w:t>UAE tax residency for tax purposes</w:t>
      </w:r>
      <w:r w:rsidRPr="00F11E57">
        <w:rPr>
          <w:rFonts w:ascii="Lucida Sans Unicode"/>
          <w:lang w:val="en-GB"/>
        </w:rPr>
        <w:t>”</w:t>
      </w:r>
      <w:r w:rsidRPr="00F11E57">
        <w:rPr>
          <w:rFonts w:ascii="Lucida Sans Unicode"/>
          <w:lang w:val="en-GB"/>
        </w:rPr>
        <w:t xml:space="preserve"> declared by an Account Holder </w:t>
      </w:r>
      <w:r w:rsidR="00482BAD" w:rsidRPr="00F11E57">
        <w:rPr>
          <w:rFonts w:ascii="Lucida Sans Unicode"/>
          <w:lang w:val="en-GB"/>
        </w:rPr>
        <w:t xml:space="preserve">or a Controlling Person (any of which a </w:t>
      </w:r>
      <w:r w:rsidR="00482BAD" w:rsidRPr="00F11E57">
        <w:rPr>
          <w:rFonts w:ascii="Lucida Sans Unicode"/>
          <w:b/>
          <w:bCs/>
          <w:lang w:val="en-GB"/>
        </w:rPr>
        <w:t>“</w:t>
      </w:r>
      <w:r w:rsidRPr="00F11E57">
        <w:rPr>
          <w:rFonts w:ascii="Lucida Sans Unicode"/>
          <w:b/>
          <w:bCs/>
          <w:lang w:val="en-GB"/>
        </w:rPr>
        <w:t>Declaring Person</w:t>
      </w:r>
      <w:r w:rsidR="00482BAD" w:rsidRPr="00F11E57">
        <w:rPr>
          <w:rFonts w:ascii="Lucida Sans Unicode"/>
          <w:b/>
          <w:bCs/>
          <w:lang w:val="en-GB"/>
        </w:rPr>
        <w:t>”</w:t>
      </w:r>
      <w:r w:rsidRPr="00F11E57">
        <w:rPr>
          <w:rFonts w:ascii="Lucida Sans Unicode"/>
          <w:lang w:val="en-GB"/>
        </w:rPr>
        <w:t>) in a self-certification reasonable with</w:t>
      </w:r>
      <w:r w:rsidRPr="00F11E57">
        <w:rPr>
          <w:rFonts w:ascii="Lucida Sans Unicode" w:hAnsi="Lucida Sans Unicode" w:cs="Lucida Sans Unicode"/>
        </w:rPr>
        <w:t xml:space="preserve"> regard to the territory of the United Arab Emirates (</w:t>
      </w:r>
      <w:r w:rsidRPr="00F11E57">
        <w:rPr>
          <w:rFonts w:ascii="Lucida Sans Unicode" w:hAnsi="Lucida Sans Unicode" w:cs="Lucida Sans Unicode"/>
          <w:b/>
          <w:bCs/>
        </w:rPr>
        <w:t>UAE</w:t>
      </w:r>
      <w:r w:rsidRPr="00F11E57">
        <w:rPr>
          <w:rFonts w:ascii="Lucida Sans Unicode" w:hAnsi="Lucida Sans Unicode" w:cs="Lucida Sans Unicode"/>
        </w:rPr>
        <w:t>)</w:t>
      </w:r>
      <w:r w:rsidR="00530558" w:rsidRPr="00F11E57">
        <w:rPr>
          <w:rFonts w:ascii="Lucida Sans Unicode" w:hAnsi="Lucida Sans Unicode" w:cs="Lucida Sans Unicode"/>
        </w:rPr>
        <w:t>;</w:t>
      </w:r>
      <w:r w:rsidRPr="00F11E57">
        <w:rPr>
          <w:rFonts w:ascii="Lucida Sans Unicode" w:hAnsi="Lucida Sans Unicode" w:cs="Lucida Sans Unicode"/>
        </w:rPr>
        <w:t xml:space="preserve"> (i) </w:t>
      </w:r>
      <w:r w:rsidRPr="00F11E57">
        <w:rPr>
          <w:rFonts w:ascii="Lucida Sans Unicode" w:hAnsi="Lucida Sans Unicode" w:cs="Lucida Sans Unicode"/>
          <w:u w:val="single"/>
        </w:rPr>
        <w:t>unless</w:t>
      </w:r>
      <w:r w:rsidRPr="00F11E57">
        <w:rPr>
          <w:rFonts w:ascii="Lucida Sans Unicode" w:hAnsi="Lucida Sans Unicode" w:cs="Lucida Sans Unicode"/>
        </w:rPr>
        <w:t xml:space="preserve"> the Reporting Financial Institution knows or has reason to know that the self-certification or Documentary Evidence is incorrect or unreliable and (ii) </w:t>
      </w:r>
      <w:r w:rsidRPr="00F11E57">
        <w:rPr>
          <w:rFonts w:ascii="Lucida Sans Unicode" w:hAnsi="Lucida Sans Unicode" w:cs="Lucida Sans Unicode"/>
          <w:u w:val="single"/>
        </w:rPr>
        <w:t>provided</w:t>
      </w:r>
      <w:r w:rsidR="00530558" w:rsidRPr="00F11E57">
        <w:rPr>
          <w:rFonts w:ascii="Lucida Sans Unicode" w:hAnsi="Lucida Sans Unicode" w:cs="Lucida Sans Unicode"/>
          <w:u w:val="single"/>
        </w:rPr>
        <w:t xml:space="preserve"> that</w:t>
      </w:r>
      <w:r w:rsidRPr="00F11E57">
        <w:rPr>
          <w:rFonts w:ascii="Lucida Sans Unicode" w:hAnsi="Lucida Sans Unicode" w:cs="Lucida Sans Unicode"/>
        </w:rPr>
        <w:t>:</w:t>
      </w:r>
    </w:p>
    <w:p w14:paraId="473695A9" w14:textId="77777777" w:rsidR="00707A1D" w:rsidRPr="00F11E57" w:rsidRDefault="00707A1D" w:rsidP="007B3C92">
      <w:pPr>
        <w:pStyle w:val="TableParagraph"/>
        <w:tabs>
          <w:tab w:val="left" w:pos="1909"/>
          <w:tab w:val="left" w:pos="1911"/>
          <w:tab w:val="left" w:pos="9403"/>
        </w:tabs>
        <w:spacing w:before="1" w:line="274" w:lineRule="auto"/>
        <w:ind w:left="284" w:right="124"/>
        <w:jc w:val="both"/>
        <w:rPr>
          <w:rFonts w:ascii="Lucida Sans Unicode" w:hAnsi="Lucida Sans Unicode" w:cs="Lucida Sans Unicode"/>
        </w:rPr>
      </w:pPr>
    </w:p>
    <w:p w14:paraId="14183F07" w14:textId="06AC7B05" w:rsidR="00707A1D" w:rsidRPr="00F11E57" w:rsidRDefault="00530558" w:rsidP="0079252B">
      <w:pPr>
        <w:pStyle w:val="TableParagraph"/>
        <w:numPr>
          <w:ilvl w:val="0"/>
          <w:numId w:val="33"/>
        </w:numPr>
        <w:spacing w:before="1" w:line="274" w:lineRule="auto"/>
        <w:ind w:left="709" w:firstLine="0"/>
        <w:jc w:val="both"/>
        <w:rPr>
          <w:rFonts w:ascii="Lucida Sans Unicode" w:hAnsi="Lucida Sans Unicode" w:cs="Lucida Sans Unicode"/>
        </w:rPr>
      </w:pPr>
      <w:r w:rsidRPr="00F11E57">
        <w:rPr>
          <w:rFonts w:ascii="Lucida Sans Unicode" w:hAnsi="Lucida Sans Unicode" w:cs="Lucida Sans Unicode"/>
        </w:rPr>
        <w:t>w</w:t>
      </w:r>
      <w:r w:rsidR="00707A1D" w:rsidRPr="00F11E57">
        <w:rPr>
          <w:rFonts w:ascii="Lucida Sans Unicode" w:hAnsi="Lucida Sans Unicode" w:cs="Lucida Sans Unicode"/>
        </w:rPr>
        <w:t>ith regard to New Individual Accounts:</w:t>
      </w:r>
    </w:p>
    <w:p w14:paraId="01369FBA" w14:textId="53A532DC" w:rsidR="00707A1D" w:rsidRPr="00F11E57" w:rsidRDefault="00530558" w:rsidP="0079252B">
      <w:pPr>
        <w:pStyle w:val="TableParagraph"/>
        <w:numPr>
          <w:ilvl w:val="0"/>
          <w:numId w:val="34"/>
        </w:numPr>
        <w:tabs>
          <w:tab w:val="left" w:pos="1985"/>
        </w:tabs>
        <w:spacing w:before="1" w:line="274" w:lineRule="auto"/>
        <w:ind w:left="1985" w:right="124" w:hanging="567"/>
        <w:jc w:val="both"/>
        <w:rPr>
          <w:rFonts w:ascii="Lucida Sans Unicode" w:hAnsi="Lucida Sans Unicode" w:cs="Lucida Sans Unicode"/>
        </w:rPr>
      </w:pPr>
      <w:r w:rsidRPr="00F11E57">
        <w:rPr>
          <w:rFonts w:ascii="Lucida Sans Unicode" w:hAnsi="Lucida Sans Unicode" w:cs="Lucida Sans Unicode"/>
        </w:rPr>
        <w:t>d</w:t>
      </w:r>
      <w:r w:rsidR="00707A1D" w:rsidRPr="00F11E57">
        <w:rPr>
          <w:rFonts w:ascii="Lucida Sans Unicode" w:hAnsi="Lucida Sans Unicode" w:cs="Lucida Sans Unicode"/>
        </w:rPr>
        <w:t xml:space="preserve">ocumentary evidence of a </w:t>
      </w:r>
      <w:r w:rsidR="00CA71BA" w:rsidRPr="00F11E57">
        <w:rPr>
          <w:rFonts w:ascii="Lucida Sans Unicode" w:hAnsi="Lucida Sans Unicode" w:cs="Lucida Sans Unicode"/>
        </w:rPr>
        <w:t>valid UAE r</w:t>
      </w:r>
      <w:r w:rsidR="00707A1D" w:rsidRPr="00F11E57">
        <w:rPr>
          <w:rFonts w:ascii="Lucida Sans Unicode" w:hAnsi="Lucida Sans Unicode" w:cs="Lucida Sans Unicode"/>
        </w:rPr>
        <w:t>esidenc</w:t>
      </w:r>
      <w:r w:rsidR="00CA71BA" w:rsidRPr="00F11E57">
        <w:rPr>
          <w:rFonts w:ascii="Lucida Sans Unicode" w:hAnsi="Lucida Sans Unicode" w:cs="Lucida Sans Unicode"/>
        </w:rPr>
        <w:t>y v</w:t>
      </w:r>
      <w:r w:rsidR="00482BAD" w:rsidRPr="00F11E57">
        <w:rPr>
          <w:rFonts w:ascii="Lucida Sans Unicode" w:hAnsi="Lucida Sans Unicode" w:cs="Lucida Sans Unicode"/>
        </w:rPr>
        <w:t>isa</w:t>
      </w:r>
      <w:r w:rsidR="00707A1D" w:rsidRPr="00F11E57">
        <w:rPr>
          <w:rFonts w:ascii="Lucida Sans Unicode" w:hAnsi="Lucida Sans Unicode" w:cs="Lucida Sans Unicode"/>
        </w:rPr>
        <w:t xml:space="preserve"> is provided by a Declaring Person; and</w:t>
      </w:r>
    </w:p>
    <w:p w14:paraId="279A4E2E" w14:textId="3C27CED6" w:rsidR="00707A1D" w:rsidRPr="00F11E57" w:rsidRDefault="00707A1D" w:rsidP="0079252B">
      <w:pPr>
        <w:pStyle w:val="TableParagraph"/>
        <w:numPr>
          <w:ilvl w:val="0"/>
          <w:numId w:val="34"/>
        </w:numPr>
        <w:tabs>
          <w:tab w:val="left" w:pos="1985"/>
        </w:tabs>
        <w:spacing w:before="1" w:line="274" w:lineRule="auto"/>
        <w:ind w:left="1985" w:right="124" w:hanging="567"/>
        <w:jc w:val="both"/>
        <w:rPr>
          <w:rFonts w:ascii="Lucida Sans Unicode" w:hAnsi="Lucida Sans Unicode" w:cs="Lucida Sans Unicode"/>
        </w:rPr>
      </w:pPr>
      <w:r w:rsidRPr="00F11E57">
        <w:rPr>
          <w:rFonts w:ascii="Lucida Sans Unicode" w:hAnsi="Lucida Sans Unicode" w:cs="Lucida Sans Unicode"/>
        </w:rPr>
        <w:t xml:space="preserve">Enhanced Due Diligence </w:t>
      </w:r>
      <w:r w:rsidR="00530558" w:rsidRPr="00F11E57">
        <w:rPr>
          <w:rFonts w:ascii="Lucida Sans Unicode" w:hAnsi="Lucida Sans Unicode" w:cs="Lucida Sans Unicode"/>
        </w:rPr>
        <w:t>pr</w:t>
      </w:r>
      <w:r w:rsidR="00482BAD" w:rsidRPr="00F11E57">
        <w:rPr>
          <w:rFonts w:ascii="Lucida Sans Unicode" w:hAnsi="Lucida Sans Unicode" w:cs="Lucida Sans Unicode"/>
        </w:rPr>
        <w:t>ocedures</w:t>
      </w:r>
      <w:r w:rsidR="00530558" w:rsidRPr="00F11E57">
        <w:rPr>
          <w:rFonts w:ascii="Lucida Sans Unicode" w:hAnsi="Lucida Sans Unicode" w:cs="Lucida Sans Unicode"/>
        </w:rPr>
        <w:t xml:space="preserve"> carried out in respect of</w:t>
      </w:r>
      <w:r w:rsidR="00CA71BA" w:rsidRPr="00F11E57">
        <w:rPr>
          <w:rFonts w:ascii="Lucida Sans Unicode" w:hAnsi="Lucida Sans Unicode" w:cs="Lucida Sans Unicode"/>
        </w:rPr>
        <w:t xml:space="preserve"> valid UAE residency v</w:t>
      </w:r>
      <w:r w:rsidR="00530558" w:rsidRPr="00F11E57">
        <w:rPr>
          <w:rFonts w:ascii="Lucida Sans Unicode" w:hAnsi="Lucida Sans Unicode" w:cs="Lucida Sans Unicode"/>
        </w:rPr>
        <w:t xml:space="preserve">isas with a term of five (5) years or more </w:t>
      </w:r>
      <w:r w:rsidRPr="00F11E57">
        <w:rPr>
          <w:rFonts w:ascii="Lucida Sans Unicode" w:hAnsi="Lucida Sans Unicode" w:cs="Lucida Sans Unicode"/>
        </w:rPr>
        <w:t xml:space="preserve">by the Reporting Financial Institution does not render any </w:t>
      </w:r>
      <w:r w:rsidR="00CA71BA" w:rsidRPr="00F11E57">
        <w:rPr>
          <w:rFonts w:ascii="Lucida Sans Unicode" w:hAnsi="Lucida Sans Unicode" w:cs="Lucida Sans Unicode"/>
        </w:rPr>
        <w:t>reason to believe that the self-</w:t>
      </w:r>
      <w:r w:rsidRPr="00F11E57">
        <w:rPr>
          <w:rFonts w:ascii="Lucida Sans Unicode" w:hAnsi="Lucida Sans Unicode" w:cs="Lucida Sans Unicode"/>
        </w:rPr>
        <w:t>certification with regard to UAE tax reside</w:t>
      </w:r>
      <w:r w:rsidR="00530558" w:rsidRPr="00F11E57">
        <w:rPr>
          <w:rFonts w:ascii="Lucida Sans Unicode" w:hAnsi="Lucida Sans Unicode" w:cs="Lucida Sans Unicode"/>
        </w:rPr>
        <w:t>ncy is incorrect or unreliable;</w:t>
      </w:r>
      <w:r w:rsidR="00CA71BA" w:rsidRPr="00F11E57">
        <w:rPr>
          <w:rFonts w:ascii="Lucida Sans Unicode" w:hAnsi="Lucida Sans Unicode" w:cs="Lucida Sans Unicode"/>
        </w:rPr>
        <w:t xml:space="preserve"> </w:t>
      </w:r>
      <w:r w:rsidRPr="00F11E57">
        <w:rPr>
          <w:rFonts w:ascii="Lucida Sans Unicode" w:hAnsi="Lucida Sans Unicode" w:cs="Lucida Sans Unicode"/>
        </w:rPr>
        <w:t>and</w:t>
      </w:r>
    </w:p>
    <w:p w14:paraId="65B6099C" w14:textId="7306E152" w:rsidR="00707A1D" w:rsidRPr="00F11E57" w:rsidRDefault="00530558" w:rsidP="0079252B">
      <w:pPr>
        <w:pStyle w:val="TableParagraph"/>
        <w:numPr>
          <w:ilvl w:val="0"/>
          <w:numId w:val="33"/>
        </w:numPr>
        <w:spacing w:before="1" w:line="274" w:lineRule="auto"/>
        <w:ind w:left="709" w:firstLine="0"/>
        <w:jc w:val="both"/>
        <w:rPr>
          <w:rFonts w:ascii="Lucida Sans Unicode" w:hAnsi="Lucida Sans Unicode" w:cs="Lucida Sans Unicode"/>
        </w:rPr>
      </w:pPr>
      <w:r w:rsidRPr="00F11E57">
        <w:rPr>
          <w:rFonts w:ascii="Lucida Sans Unicode" w:hAnsi="Lucida Sans Unicode" w:cs="Lucida Sans Unicode"/>
        </w:rPr>
        <w:t>w</w:t>
      </w:r>
      <w:r w:rsidR="00707A1D" w:rsidRPr="00F11E57">
        <w:rPr>
          <w:rFonts w:ascii="Lucida Sans Unicode" w:hAnsi="Lucida Sans Unicode" w:cs="Lucida Sans Unicode"/>
        </w:rPr>
        <w:t>ith regard to New Entity Accounts:</w:t>
      </w:r>
    </w:p>
    <w:p w14:paraId="2F2C7635" w14:textId="4283413C" w:rsidR="00530558" w:rsidRPr="00F11E57" w:rsidRDefault="00392240" w:rsidP="00CA71BA">
      <w:pPr>
        <w:pStyle w:val="TableParagraph"/>
        <w:numPr>
          <w:ilvl w:val="0"/>
          <w:numId w:val="35"/>
        </w:numPr>
        <w:tabs>
          <w:tab w:val="left" w:pos="1985"/>
        </w:tabs>
        <w:spacing w:before="1" w:line="274" w:lineRule="auto"/>
        <w:ind w:left="1985" w:right="124" w:hanging="567"/>
        <w:jc w:val="both"/>
        <w:rPr>
          <w:rFonts w:ascii="Lucida Sans Unicode" w:hAnsi="Lucida Sans Unicode" w:cs="Lucida Sans Unicode"/>
        </w:rPr>
      </w:pPr>
      <w:r w:rsidRPr="00F11E57">
        <w:rPr>
          <w:rFonts w:ascii="Lucida Sans Unicode" w:hAnsi="Lucida Sans Unicode" w:cs="Lucida Sans Unicode"/>
        </w:rPr>
        <w:t>documentary evidence</w:t>
      </w:r>
      <w:r w:rsidR="00530558" w:rsidRPr="00F11E57">
        <w:rPr>
          <w:rFonts w:ascii="Lucida Sans Unicode" w:hAnsi="Lucida Sans Unicode" w:cs="Lucida Sans Unicode"/>
        </w:rPr>
        <w:t xml:space="preserve"> of v</w:t>
      </w:r>
      <w:r w:rsidR="00707A1D" w:rsidRPr="00F11E57">
        <w:rPr>
          <w:rFonts w:ascii="Lucida Sans Unicode" w:hAnsi="Lucida Sans Unicode" w:cs="Lucida Sans Unicode"/>
        </w:rPr>
        <w:t xml:space="preserve">alid </w:t>
      </w:r>
      <w:r w:rsidR="00530558" w:rsidRPr="00F11E57">
        <w:rPr>
          <w:rFonts w:ascii="Lucida Sans Unicode" w:hAnsi="Lucida Sans Unicode" w:cs="Lucida Sans Unicode"/>
        </w:rPr>
        <w:t xml:space="preserve">trade </w:t>
      </w:r>
      <w:r w:rsidR="00707A1D" w:rsidRPr="00F11E57">
        <w:rPr>
          <w:rFonts w:ascii="Lucida Sans Unicode" w:hAnsi="Lucida Sans Unicode" w:cs="Lucida Sans Unicode"/>
        </w:rPr>
        <w:t>license, registration ce</w:t>
      </w:r>
      <w:r w:rsidR="00530558" w:rsidRPr="00F11E57">
        <w:rPr>
          <w:rFonts w:ascii="Lucida Sans Unicode" w:hAnsi="Lucida Sans Unicode" w:cs="Lucida Sans Unicode"/>
        </w:rPr>
        <w:t>rtificate</w:t>
      </w:r>
      <w:r w:rsidR="000718F8" w:rsidRPr="00F11E57">
        <w:rPr>
          <w:rFonts w:ascii="Lucida Sans Unicode" w:hAnsi="Lucida Sans Unicode" w:cs="Lucida Sans Unicode"/>
        </w:rPr>
        <w:t xml:space="preserve"> or similar issued by </w:t>
      </w:r>
      <w:r w:rsidR="00530558" w:rsidRPr="00F11E57">
        <w:rPr>
          <w:rFonts w:ascii="Lucida Sans Unicode" w:hAnsi="Lucida Sans Unicode" w:cs="Lucida Sans Unicode"/>
        </w:rPr>
        <w:t xml:space="preserve">the relevant UAE licensing authority.  </w:t>
      </w:r>
      <w:r w:rsidR="00707A1D" w:rsidRPr="00F11E57">
        <w:rPr>
          <w:rFonts w:ascii="Lucida Sans Unicode" w:hAnsi="Lucida Sans Unicode" w:cs="Lucida Sans Unicode"/>
        </w:rPr>
        <w:t xml:space="preserve"> </w:t>
      </w:r>
    </w:p>
    <w:p w14:paraId="6BCFF188" w14:textId="77777777" w:rsidR="00530558" w:rsidRPr="00F11E57" w:rsidRDefault="00530558" w:rsidP="00530558">
      <w:pPr>
        <w:pStyle w:val="TableParagraph"/>
        <w:tabs>
          <w:tab w:val="left" w:pos="1985"/>
        </w:tabs>
        <w:spacing w:before="1" w:line="274" w:lineRule="auto"/>
        <w:ind w:left="830" w:right="124"/>
        <w:jc w:val="both"/>
        <w:rPr>
          <w:rFonts w:ascii="Lucida Sans Unicode" w:hAnsi="Lucida Sans Unicode" w:cs="Lucida Sans Unicode"/>
        </w:rPr>
      </w:pPr>
    </w:p>
    <w:p w14:paraId="113C8107" w14:textId="77777777" w:rsidR="001A06A8" w:rsidRPr="00F11E57" w:rsidRDefault="00707A1D" w:rsidP="001A06A8">
      <w:pPr>
        <w:pStyle w:val="TableParagraph"/>
        <w:tabs>
          <w:tab w:val="left" w:pos="1909"/>
          <w:tab w:val="left" w:pos="1911"/>
        </w:tabs>
        <w:spacing w:before="1" w:line="274" w:lineRule="auto"/>
        <w:ind w:left="284" w:right="124"/>
        <w:jc w:val="both"/>
        <w:rPr>
          <w:rFonts w:ascii="Lucida Sans Unicode" w:hAnsi="Lucida Sans Unicode" w:cs="Lucida Sans Unicode"/>
        </w:rPr>
      </w:pPr>
      <w:r w:rsidRPr="00F11E57">
        <w:rPr>
          <w:rFonts w:ascii="Lucida Sans Unicode" w:hAnsi="Lucida Sans Unicode" w:cs="Lucida Sans Unicode"/>
        </w:rPr>
        <w:t>“</w:t>
      </w:r>
      <w:r w:rsidRPr="00F11E57">
        <w:rPr>
          <w:rFonts w:ascii="Lucida Sans Unicode" w:hAnsi="Lucida Sans Unicode" w:cs="Lucida Sans Unicode"/>
          <w:b/>
          <w:bCs/>
        </w:rPr>
        <w:t>Enhanced Due Diligence</w:t>
      </w:r>
      <w:r w:rsidR="005F4A4C" w:rsidRPr="00F11E57">
        <w:rPr>
          <w:rFonts w:ascii="Lucida Sans Unicode" w:hAnsi="Lucida Sans Unicode" w:cs="Lucida Sans Unicode"/>
        </w:rPr>
        <w:t xml:space="preserve">” </w:t>
      </w:r>
      <w:r w:rsidR="001A06A8" w:rsidRPr="00F11E57">
        <w:rPr>
          <w:rFonts w:ascii="Lucida Sans Unicode" w:hAnsi="Lucida Sans Unicode" w:cs="Lucida Sans Unicode"/>
        </w:rPr>
        <w:t>means a Reporting Financial Institution must seek answers from the Declaring Person, including but not limited to the following questions:</w:t>
      </w:r>
    </w:p>
    <w:p w14:paraId="592E91B4" w14:textId="77777777" w:rsidR="001A06A8" w:rsidRPr="00F11E57" w:rsidRDefault="001A06A8" w:rsidP="001A06A8">
      <w:pPr>
        <w:pStyle w:val="TableParagraph"/>
        <w:numPr>
          <w:ilvl w:val="0"/>
          <w:numId w:val="38"/>
        </w:numPr>
        <w:tabs>
          <w:tab w:val="left" w:pos="1418"/>
        </w:tabs>
        <w:spacing w:before="1" w:line="274" w:lineRule="auto"/>
        <w:ind w:left="1418" w:right="124" w:hanging="709"/>
        <w:jc w:val="both"/>
        <w:rPr>
          <w:rFonts w:ascii="Lucida Sans Unicode" w:hAnsi="Lucida Sans Unicode" w:cs="Lucida Sans Unicode"/>
        </w:rPr>
      </w:pPr>
      <w:r w:rsidRPr="00F11E57">
        <w:rPr>
          <w:rFonts w:ascii="Lucida Sans Unicode" w:hAnsi="Lucida Sans Unicode" w:cs="Lucida Sans Unicode"/>
        </w:rPr>
        <w:t>Did you obtain UAE tax residency under a residency by investment scheme?</w:t>
      </w:r>
    </w:p>
    <w:p w14:paraId="6A988E04" w14:textId="77777777" w:rsidR="001A06A8" w:rsidRPr="00F11E57" w:rsidRDefault="001A06A8" w:rsidP="001A06A8">
      <w:pPr>
        <w:pStyle w:val="TableParagraph"/>
        <w:numPr>
          <w:ilvl w:val="0"/>
          <w:numId w:val="38"/>
        </w:numPr>
        <w:tabs>
          <w:tab w:val="left" w:pos="1418"/>
        </w:tabs>
        <w:spacing w:before="1" w:line="274" w:lineRule="auto"/>
        <w:ind w:left="1418" w:right="124" w:hanging="709"/>
        <w:jc w:val="both"/>
        <w:rPr>
          <w:rFonts w:ascii="Lucida Sans Unicode" w:hAnsi="Lucida Sans Unicode" w:cs="Lucida Sans Unicode"/>
        </w:rPr>
      </w:pPr>
      <w:r w:rsidRPr="00F11E57">
        <w:rPr>
          <w:rFonts w:ascii="Lucida Sans Unicode" w:hAnsi="Lucida Sans Unicode" w:cs="Lucida Sans Unicode"/>
        </w:rPr>
        <w:t>Are you a resident in any other jurisdiction(s)?</w:t>
      </w:r>
    </w:p>
    <w:p w14:paraId="566992AD" w14:textId="798D114E" w:rsidR="002379E1" w:rsidRPr="00F11E57" w:rsidRDefault="001A06A8" w:rsidP="001A06A8">
      <w:pPr>
        <w:pStyle w:val="TableParagraph"/>
        <w:numPr>
          <w:ilvl w:val="0"/>
          <w:numId w:val="38"/>
        </w:numPr>
        <w:tabs>
          <w:tab w:val="left" w:pos="1418"/>
        </w:tabs>
        <w:spacing w:before="1" w:line="274" w:lineRule="auto"/>
        <w:ind w:left="1418" w:right="124" w:hanging="709"/>
        <w:jc w:val="both"/>
        <w:rPr>
          <w:rFonts w:ascii="Lucida Sans Unicode" w:hAnsi="Lucida Sans Unicode" w:cs="Lucida Sans Unicode"/>
        </w:rPr>
      </w:pPr>
      <w:r w:rsidRPr="00F11E57">
        <w:rPr>
          <w:rFonts w:ascii="Lucida Sans Unicode" w:hAnsi="Lucida Sans Unicode" w:cs="Lucida Sans Unicode"/>
        </w:rPr>
        <w:t>In which jurisdiction(s) have you been subject to personal income tax during the previous calendar year?</w:t>
      </w:r>
      <w:r w:rsidR="002379E1" w:rsidRPr="00F11E57">
        <w:rPr>
          <w:rFonts w:ascii="Lucida Sans Unicode" w:hAnsi="Lucida Sans Unicode" w:cs="Lucida Sans Unicode"/>
        </w:rPr>
        <w:br w:type="page"/>
      </w:r>
    </w:p>
    <w:p w14:paraId="42DA692A" w14:textId="3E140BCA" w:rsidR="002379E1" w:rsidRPr="00F11E57" w:rsidRDefault="007B3C92" w:rsidP="002379E1">
      <w:pPr>
        <w:pStyle w:val="Heading1"/>
        <w:numPr>
          <w:ilvl w:val="0"/>
          <w:numId w:val="30"/>
        </w:numPr>
        <w:spacing w:before="1" w:line="274" w:lineRule="auto"/>
        <w:ind w:left="720" w:hanging="450"/>
        <w:rPr>
          <w:rFonts w:ascii="Calibri" w:hAnsi="Calibri"/>
          <w:caps/>
          <w:color w:val="B89207"/>
          <w:lang w:val="en-GB"/>
        </w:rPr>
      </w:pPr>
      <w:bookmarkStart w:id="17" w:name="_Toc448011183"/>
      <w:r w:rsidRPr="00F11E57">
        <w:rPr>
          <w:rFonts w:ascii="Calibri" w:hAnsi="Calibri"/>
          <w:caps/>
          <w:color w:val="B89207"/>
          <w:lang w:val="en-GB"/>
        </w:rPr>
        <w:lastRenderedPageBreak/>
        <w:t>Sanctions</w:t>
      </w:r>
      <w:bookmarkEnd w:id="17"/>
    </w:p>
    <w:p w14:paraId="2B2CDC3A" w14:textId="4FB2E2AA" w:rsidR="002379E1" w:rsidRPr="00F11E57" w:rsidRDefault="007B3C92" w:rsidP="007B3C92">
      <w:pPr>
        <w:pStyle w:val="TableParagraph"/>
        <w:tabs>
          <w:tab w:val="left" w:pos="1909"/>
          <w:tab w:val="left" w:pos="1911"/>
          <w:tab w:val="left" w:pos="9403"/>
        </w:tabs>
        <w:spacing w:before="1" w:line="274" w:lineRule="auto"/>
        <w:ind w:left="284" w:right="124"/>
        <w:jc w:val="both"/>
        <w:rPr>
          <w:rFonts w:ascii="Lucida Sans Unicode"/>
          <w:lang w:val="en-GB"/>
        </w:rPr>
      </w:pPr>
      <w:r w:rsidRPr="00F11E57">
        <w:rPr>
          <w:rFonts w:ascii="Lucida Sans Unicode"/>
          <w:lang w:val="en-GB"/>
        </w:rPr>
        <w:t>The fol</w:t>
      </w:r>
      <w:r w:rsidR="00253E22" w:rsidRPr="00F11E57">
        <w:rPr>
          <w:rFonts w:ascii="Lucida Sans Unicode"/>
          <w:lang w:val="en-GB"/>
        </w:rPr>
        <w:t>lowing sanctions shall be imposed by each Regulatory Authority</w:t>
      </w:r>
      <w:r w:rsidRPr="00F11E57">
        <w:rPr>
          <w:rFonts w:ascii="Lucida Sans Unicode"/>
          <w:lang w:val="en-GB"/>
        </w:rPr>
        <w:t>:</w:t>
      </w:r>
    </w:p>
    <w:p w14:paraId="42851193" w14:textId="77777777" w:rsidR="002379E1" w:rsidRPr="00F11E57" w:rsidRDefault="002379E1" w:rsidP="002379E1">
      <w:pPr>
        <w:pStyle w:val="BodyText"/>
        <w:spacing w:before="1" w:line="274" w:lineRule="auto"/>
        <w:ind w:firstLine="0"/>
        <w:rPr>
          <w:sz w:val="19"/>
          <w:lang w:val="en-GB"/>
        </w:rPr>
      </w:pPr>
    </w:p>
    <w:p w14:paraId="0600112B" w14:textId="716805A9" w:rsidR="002379E1" w:rsidRPr="00F11E57" w:rsidRDefault="002379E1" w:rsidP="0079252B">
      <w:pPr>
        <w:pStyle w:val="TableParagraph"/>
        <w:numPr>
          <w:ilvl w:val="0"/>
          <w:numId w:val="36"/>
        </w:numPr>
        <w:tabs>
          <w:tab w:val="left" w:pos="709"/>
          <w:tab w:val="left" w:pos="9403"/>
        </w:tabs>
        <w:spacing w:before="1" w:line="274" w:lineRule="auto"/>
        <w:ind w:right="124" w:hanging="720"/>
        <w:jc w:val="both"/>
        <w:rPr>
          <w:rFonts w:ascii="Lucida Sans Unicode"/>
          <w:b/>
          <w:lang w:val="en-GB"/>
        </w:rPr>
      </w:pPr>
      <w:r w:rsidRPr="00F11E57">
        <w:rPr>
          <w:rFonts w:ascii="Lucida Sans Unicode"/>
          <w:b/>
          <w:lang w:val="en-GB"/>
        </w:rPr>
        <w:t>Provision of false self-certification</w:t>
      </w:r>
    </w:p>
    <w:p w14:paraId="4B9F4D27" w14:textId="77777777" w:rsidR="002379E1" w:rsidRPr="00F11E57" w:rsidRDefault="002379E1" w:rsidP="00511E21">
      <w:pPr>
        <w:pStyle w:val="TableParagraph"/>
        <w:tabs>
          <w:tab w:val="left" w:pos="1909"/>
          <w:tab w:val="left" w:pos="1911"/>
          <w:tab w:val="left" w:pos="9403"/>
        </w:tabs>
        <w:spacing w:before="1" w:line="274" w:lineRule="auto"/>
        <w:ind w:left="284" w:right="124"/>
        <w:jc w:val="both"/>
        <w:rPr>
          <w:rFonts w:ascii="Lucida Sans Unicode"/>
          <w:lang w:val="en-GB"/>
        </w:rPr>
      </w:pPr>
    </w:p>
    <w:p w14:paraId="77A5C818" w14:textId="05F02DC9" w:rsidR="00511E21" w:rsidRDefault="00511E21" w:rsidP="00511E21">
      <w:pPr>
        <w:pStyle w:val="TableParagraph"/>
        <w:numPr>
          <w:ilvl w:val="0"/>
          <w:numId w:val="42"/>
        </w:numPr>
        <w:tabs>
          <w:tab w:val="left" w:pos="1909"/>
          <w:tab w:val="left" w:pos="1911"/>
          <w:tab w:val="left" w:pos="9403"/>
        </w:tabs>
        <w:spacing w:before="1" w:line="274" w:lineRule="auto"/>
        <w:ind w:right="124"/>
        <w:jc w:val="both"/>
        <w:rPr>
          <w:rFonts w:ascii="Lucida Sans Unicode"/>
          <w:lang w:val="en-GB"/>
        </w:rPr>
      </w:pPr>
      <w:r w:rsidRPr="00511E21">
        <w:rPr>
          <w:rFonts w:ascii="Lucida Sans Unicode"/>
          <w:lang w:val="en-GB"/>
        </w:rPr>
        <w:t xml:space="preserve">A fine in the amount of Dirhams (20,000) twenty thousand shall be imposed on any Account Holder or Controlling Person, as the case may be, if the self-certification that is required to be submitted by such Account Holder or Controlling Person to the Financial Institution contains any false or incorrect information and the Account Holder or Controlling Persons knows or should have known that the information provided is false or incorrect. </w:t>
      </w:r>
    </w:p>
    <w:p w14:paraId="1D9A2163" w14:textId="77777777" w:rsidR="00511E21" w:rsidRPr="00511E21" w:rsidRDefault="00511E21" w:rsidP="00511E21">
      <w:pPr>
        <w:pStyle w:val="TableParagraph"/>
        <w:tabs>
          <w:tab w:val="left" w:pos="1909"/>
          <w:tab w:val="left" w:pos="1911"/>
          <w:tab w:val="left" w:pos="9403"/>
        </w:tabs>
        <w:spacing w:before="1" w:line="274" w:lineRule="auto"/>
        <w:ind w:left="644" w:right="124"/>
        <w:jc w:val="both"/>
        <w:rPr>
          <w:rFonts w:ascii="Lucida Sans Unicode"/>
          <w:lang w:val="en-GB"/>
        </w:rPr>
      </w:pPr>
    </w:p>
    <w:p w14:paraId="2232B630" w14:textId="49A9513A" w:rsidR="00511E21" w:rsidRDefault="00AA4BAA" w:rsidP="00511E21">
      <w:pPr>
        <w:pStyle w:val="TableParagraph"/>
        <w:numPr>
          <w:ilvl w:val="0"/>
          <w:numId w:val="42"/>
        </w:numPr>
        <w:tabs>
          <w:tab w:val="left" w:pos="1909"/>
          <w:tab w:val="left" w:pos="1911"/>
          <w:tab w:val="left" w:pos="9403"/>
        </w:tabs>
        <w:spacing w:before="1" w:line="274" w:lineRule="auto"/>
        <w:ind w:right="124"/>
        <w:jc w:val="both"/>
        <w:rPr>
          <w:rFonts w:ascii="Lucida Sans Unicode"/>
          <w:lang w:val="en-GB"/>
        </w:rPr>
      </w:pPr>
      <w:r w:rsidRPr="00F11E57">
        <w:rPr>
          <w:rFonts w:ascii="Lucida Sans Unicode"/>
          <w:lang w:val="en-GB"/>
        </w:rPr>
        <w:t>The Financial I</w:t>
      </w:r>
      <w:r w:rsidR="0079252B" w:rsidRPr="00F11E57">
        <w:rPr>
          <w:rFonts w:ascii="Lucida Sans Unicode"/>
          <w:lang w:val="en-GB"/>
        </w:rPr>
        <w:t>nstitution shall</w:t>
      </w:r>
      <w:r w:rsidR="006121E2" w:rsidRPr="00F11E57">
        <w:rPr>
          <w:rFonts w:ascii="Lucida Sans Unicode"/>
          <w:lang w:val="en-GB"/>
        </w:rPr>
        <w:t>,</w:t>
      </w:r>
      <w:r w:rsidR="0079252B" w:rsidRPr="00F11E57">
        <w:rPr>
          <w:rFonts w:ascii="Lucida Sans Unicode"/>
          <w:lang w:val="en-GB"/>
        </w:rPr>
        <w:t xml:space="preserve"> </w:t>
      </w:r>
      <w:r w:rsidRPr="00F11E57">
        <w:rPr>
          <w:rFonts w:ascii="Lucida Sans Unicode"/>
          <w:lang w:val="en-GB"/>
        </w:rPr>
        <w:t xml:space="preserve">within thirty (30) days </w:t>
      </w:r>
      <w:r w:rsidR="0079252B" w:rsidRPr="00F11E57">
        <w:rPr>
          <w:rFonts w:ascii="Lucida Sans Unicode"/>
          <w:lang w:val="en-GB"/>
        </w:rPr>
        <w:t xml:space="preserve">upon </w:t>
      </w:r>
      <w:r w:rsidRPr="00F11E57">
        <w:rPr>
          <w:rFonts w:ascii="Lucida Sans Unicode"/>
          <w:lang w:val="en-GB"/>
        </w:rPr>
        <w:t>becoming aware</w:t>
      </w:r>
      <w:r w:rsidR="0079252B" w:rsidRPr="00F11E57">
        <w:rPr>
          <w:rFonts w:ascii="Lucida Sans Unicode"/>
          <w:lang w:val="en-GB"/>
        </w:rPr>
        <w:t xml:space="preserve"> of the violation mentioned in </w:t>
      </w:r>
      <w:r w:rsidRPr="00F11E57">
        <w:rPr>
          <w:rFonts w:ascii="Lucida Sans Unicode"/>
          <w:lang w:val="en-GB"/>
        </w:rPr>
        <w:t>subparagraph (1</w:t>
      </w:r>
      <w:r w:rsidR="0079252B" w:rsidRPr="00F11E57">
        <w:rPr>
          <w:rFonts w:ascii="Lucida Sans Unicode"/>
          <w:lang w:val="en-GB"/>
        </w:rPr>
        <w:t>)</w:t>
      </w:r>
      <w:r w:rsidR="006121E2" w:rsidRPr="00F11E57">
        <w:rPr>
          <w:rFonts w:ascii="Lucida Sans Unicode"/>
          <w:lang w:val="en-GB"/>
        </w:rPr>
        <w:t>,</w:t>
      </w:r>
      <w:r w:rsidR="0079252B" w:rsidRPr="00F11E57">
        <w:rPr>
          <w:rFonts w:ascii="Lucida Sans Unicode"/>
          <w:lang w:val="en-GB"/>
        </w:rPr>
        <w:t xml:space="preserve"> notify the relevant Regulatory Authority of this violation and </w:t>
      </w:r>
      <w:r w:rsidR="006121E2" w:rsidRPr="00F11E57">
        <w:rPr>
          <w:rFonts w:ascii="Lucida Sans Unicode"/>
          <w:lang w:val="en-GB"/>
        </w:rPr>
        <w:t xml:space="preserve">provide all </w:t>
      </w:r>
      <w:r w:rsidR="0079252B" w:rsidRPr="00F11E57">
        <w:rPr>
          <w:rFonts w:ascii="Lucida Sans Unicode"/>
          <w:lang w:val="en-GB"/>
        </w:rPr>
        <w:t xml:space="preserve">information available </w:t>
      </w:r>
      <w:r w:rsidR="00237970" w:rsidRPr="00F11E57">
        <w:rPr>
          <w:rFonts w:ascii="Lucida Sans Unicode"/>
          <w:lang w:val="en-GB"/>
        </w:rPr>
        <w:t>to it on the identity, address and place of residence of the Account Holder and/or the Controlling Person</w:t>
      </w:r>
      <w:r w:rsidR="0079252B" w:rsidRPr="00F11E57">
        <w:rPr>
          <w:rFonts w:ascii="Lucida Sans Unicode"/>
          <w:lang w:val="en-GB"/>
        </w:rPr>
        <w:t xml:space="preserve">. </w:t>
      </w:r>
    </w:p>
    <w:p w14:paraId="3B065092" w14:textId="77777777" w:rsidR="00511E21" w:rsidRDefault="00511E21" w:rsidP="00511E21">
      <w:pPr>
        <w:pStyle w:val="TableParagraph"/>
        <w:tabs>
          <w:tab w:val="left" w:pos="1909"/>
          <w:tab w:val="left" w:pos="1911"/>
          <w:tab w:val="left" w:pos="9403"/>
        </w:tabs>
        <w:spacing w:before="1" w:line="274" w:lineRule="auto"/>
        <w:ind w:left="644" w:right="124"/>
        <w:jc w:val="both"/>
        <w:rPr>
          <w:rFonts w:ascii="Lucida Sans Unicode"/>
          <w:lang w:val="en-GB"/>
        </w:rPr>
      </w:pPr>
    </w:p>
    <w:p w14:paraId="6EEE7A9D" w14:textId="67116A95" w:rsidR="0079252B" w:rsidRPr="00F11E57" w:rsidRDefault="00AA4BAA" w:rsidP="00511E21">
      <w:pPr>
        <w:pStyle w:val="TableParagraph"/>
        <w:numPr>
          <w:ilvl w:val="0"/>
          <w:numId w:val="42"/>
        </w:numPr>
        <w:tabs>
          <w:tab w:val="left" w:pos="1909"/>
          <w:tab w:val="left" w:pos="1911"/>
          <w:tab w:val="left" w:pos="9403"/>
        </w:tabs>
        <w:spacing w:before="1" w:line="274" w:lineRule="auto"/>
        <w:ind w:right="124"/>
        <w:jc w:val="both"/>
        <w:rPr>
          <w:rFonts w:ascii="Lucida Sans Unicode"/>
          <w:lang w:val="en-GB"/>
        </w:rPr>
      </w:pPr>
      <w:r w:rsidRPr="00F11E57">
        <w:rPr>
          <w:rFonts w:ascii="Lucida Sans Unicode"/>
          <w:lang w:val="en-GB"/>
        </w:rPr>
        <w:t xml:space="preserve">The </w:t>
      </w:r>
      <w:r w:rsidR="0079252B" w:rsidRPr="00F11E57">
        <w:rPr>
          <w:rFonts w:ascii="Lucida Sans Unicode"/>
          <w:lang w:val="en-GB"/>
        </w:rPr>
        <w:t>Regulatory Authority shall</w:t>
      </w:r>
      <w:r w:rsidR="006121E2" w:rsidRPr="00F11E57">
        <w:rPr>
          <w:rFonts w:ascii="Lucida Sans Unicode"/>
          <w:lang w:val="en-GB"/>
        </w:rPr>
        <w:t>,</w:t>
      </w:r>
      <w:r w:rsidR="0079252B" w:rsidRPr="00F11E57">
        <w:rPr>
          <w:rFonts w:ascii="Lucida Sans Unicode"/>
          <w:lang w:val="en-GB"/>
        </w:rPr>
        <w:t xml:space="preserve"> within thirty </w:t>
      </w:r>
      <w:r w:rsidRPr="00F11E57">
        <w:rPr>
          <w:rFonts w:ascii="Lucida Sans Unicode"/>
          <w:lang w:val="en-GB"/>
        </w:rPr>
        <w:t xml:space="preserve">(30) </w:t>
      </w:r>
      <w:r w:rsidR="0079252B" w:rsidRPr="00F11E57">
        <w:rPr>
          <w:rFonts w:ascii="Lucida Sans Unicode"/>
          <w:lang w:val="en-GB"/>
        </w:rPr>
        <w:t>days o</w:t>
      </w:r>
      <w:r w:rsidR="00BB017C" w:rsidRPr="00F11E57">
        <w:rPr>
          <w:rFonts w:ascii="Lucida Sans Unicode"/>
          <w:lang w:val="en-GB"/>
        </w:rPr>
        <w:t xml:space="preserve">f the date of the notification </w:t>
      </w:r>
      <w:r w:rsidR="0079252B" w:rsidRPr="00F11E57">
        <w:rPr>
          <w:rFonts w:ascii="Lucida Sans Unicode"/>
          <w:lang w:val="en-GB"/>
        </w:rPr>
        <w:t xml:space="preserve">mentioned in </w:t>
      </w:r>
      <w:r w:rsidR="00BB017C" w:rsidRPr="00F11E57">
        <w:rPr>
          <w:rFonts w:ascii="Lucida Sans Unicode"/>
          <w:lang w:val="en-GB"/>
        </w:rPr>
        <w:t>subparagraph (2</w:t>
      </w:r>
      <w:r w:rsidR="0079252B" w:rsidRPr="00F11E57">
        <w:rPr>
          <w:rFonts w:ascii="Lucida Sans Unicode"/>
          <w:lang w:val="en-GB"/>
        </w:rPr>
        <w:t>)</w:t>
      </w:r>
      <w:r w:rsidR="006121E2" w:rsidRPr="00F11E57">
        <w:rPr>
          <w:rFonts w:ascii="Lucida Sans Unicode"/>
          <w:lang w:val="en-GB"/>
        </w:rPr>
        <w:t>,</w:t>
      </w:r>
      <w:r w:rsidR="0079252B" w:rsidRPr="00F11E57">
        <w:rPr>
          <w:rFonts w:ascii="Lucida Sans Unicode"/>
          <w:lang w:val="en-GB"/>
        </w:rPr>
        <w:t xml:space="preserve"> notify the Account Holder or the Controlling </w:t>
      </w:r>
      <w:r w:rsidR="00BB017C" w:rsidRPr="00F11E57">
        <w:rPr>
          <w:rFonts w:ascii="Lucida Sans Unicode"/>
          <w:lang w:val="en-GB"/>
        </w:rPr>
        <w:t xml:space="preserve">Person of the violation, the amount </w:t>
      </w:r>
      <w:r w:rsidR="0079252B" w:rsidRPr="00F11E57">
        <w:rPr>
          <w:rFonts w:ascii="Lucida Sans Unicode"/>
          <w:lang w:val="en-GB"/>
        </w:rPr>
        <w:t xml:space="preserve">of the </w:t>
      </w:r>
      <w:r w:rsidR="006B6D39" w:rsidRPr="00F11E57">
        <w:rPr>
          <w:rFonts w:ascii="Lucida Sans Unicode"/>
          <w:lang w:val="en-GB"/>
        </w:rPr>
        <w:t>fine and</w:t>
      </w:r>
      <w:r w:rsidR="00BB017C" w:rsidRPr="00F11E57">
        <w:rPr>
          <w:rFonts w:ascii="Lucida Sans Unicode"/>
          <w:lang w:val="en-GB"/>
        </w:rPr>
        <w:t xml:space="preserve"> the payment </w:t>
      </w:r>
      <w:r w:rsidR="0079252B" w:rsidRPr="00F11E57">
        <w:rPr>
          <w:rFonts w:ascii="Lucida Sans Unicode"/>
          <w:lang w:val="en-GB"/>
        </w:rPr>
        <w:t xml:space="preserve">request of the </w:t>
      </w:r>
      <w:r w:rsidR="00237970" w:rsidRPr="00F11E57">
        <w:rPr>
          <w:rFonts w:ascii="Lucida Sans Unicode"/>
          <w:lang w:val="en-GB"/>
        </w:rPr>
        <w:t>fine within no later than thirty (30) days from receipt of the notice</w:t>
      </w:r>
      <w:r w:rsidR="0079252B" w:rsidRPr="00F11E57">
        <w:rPr>
          <w:rFonts w:ascii="Lucida Sans Unicode"/>
          <w:lang w:val="en-GB"/>
        </w:rPr>
        <w:t>.</w:t>
      </w:r>
    </w:p>
    <w:p w14:paraId="58B9D27E" w14:textId="77777777" w:rsidR="002379E1" w:rsidRPr="00511E21" w:rsidRDefault="002379E1" w:rsidP="007B3C92">
      <w:pPr>
        <w:pStyle w:val="TableParagraph"/>
        <w:tabs>
          <w:tab w:val="left" w:pos="1909"/>
          <w:tab w:val="left" w:pos="1911"/>
          <w:tab w:val="left" w:pos="9403"/>
        </w:tabs>
        <w:spacing w:before="1" w:line="274" w:lineRule="auto"/>
        <w:ind w:left="284" w:right="124"/>
        <w:jc w:val="both"/>
        <w:rPr>
          <w:rFonts w:ascii="Lucida Sans Unicode"/>
          <w:lang w:val="en-GB"/>
        </w:rPr>
      </w:pPr>
    </w:p>
    <w:p w14:paraId="6BCD0B88" w14:textId="77777777" w:rsidR="002379E1" w:rsidRPr="00F11E57" w:rsidRDefault="002379E1" w:rsidP="0079252B">
      <w:pPr>
        <w:pStyle w:val="TableParagraph"/>
        <w:numPr>
          <w:ilvl w:val="0"/>
          <w:numId w:val="36"/>
        </w:numPr>
        <w:tabs>
          <w:tab w:val="left" w:pos="709"/>
          <w:tab w:val="left" w:pos="9403"/>
        </w:tabs>
        <w:spacing w:before="1" w:line="274" w:lineRule="auto"/>
        <w:ind w:right="124" w:hanging="720"/>
        <w:jc w:val="both"/>
        <w:rPr>
          <w:rFonts w:ascii="Lucida Sans Unicode"/>
          <w:b/>
          <w:lang w:val="en-GB"/>
        </w:rPr>
      </w:pPr>
      <w:r w:rsidRPr="00F11E57">
        <w:rPr>
          <w:rFonts w:ascii="Lucida Sans Unicode"/>
          <w:b/>
          <w:lang w:val="en-GB"/>
        </w:rPr>
        <w:t>No valid or validated self-certification</w:t>
      </w:r>
    </w:p>
    <w:p w14:paraId="34403F7E" w14:textId="77777777" w:rsidR="002379E1" w:rsidRPr="00F11E57" w:rsidRDefault="002379E1" w:rsidP="007B3C92">
      <w:pPr>
        <w:pStyle w:val="TableParagraph"/>
        <w:tabs>
          <w:tab w:val="left" w:pos="1909"/>
          <w:tab w:val="left" w:pos="1911"/>
          <w:tab w:val="left" w:pos="9403"/>
        </w:tabs>
        <w:spacing w:before="1" w:line="274" w:lineRule="auto"/>
        <w:ind w:left="284" w:right="124"/>
        <w:jc w:val="both"/>
        <w:rPr>
          <w:rFonts w:ascii="Lucida Sans Unicode"/>
          <w:lang w:val="en-GB"/>
        </w:rPr>
      </w:pPr>
    </w:p>
    <w:p w14:paraId="7111462B" w14:textId="66A355A9" w:rsidR="0016403F" w:rsidRPr="00F11E57" w:rsidRDefault="0016403F" w:rsidP="0079252B">
      <w:pPr>
        <w:pStyle w:val="TableParagraph"/>
        <w:spacing w:before="1" w:line="274" w:lineRule="auto"/>
        <w:ind w:left="284"/>
        <w:jc w:val="both"/>
        <w:rPr>
          <w:rFonts w:ascii="Lucida Sans Unicode" w:hAnsi="Lucida Sans Unicode" w:cs="Lucida Sans Unicode"/>
        </w:rPr>
      </w:pPr>
      <w:r w:rsidRPr="00F11E57">
        <w:rPr>
          <w:rFonts w:ascii="Lucida Sans Unicode" w:hAnsi="Lucida Sans Unicode" w:cs="Lucida Sans Unicode"/>
        </w:rPr>
        <w:t xml:space="preserve">1.   A </w:t>
      </w:r>
      <w:r w:rsidR="00237970" w:rsidRPr="00F11E57">
        <w:rPr>
          <w:rFonts w:ascii="Lucida Sans Unicode" w:hAnsi="Lucida Sans Unicode" w:cs="Lucida Sans Unicode"/>
        </w:rPr>
        <w:t>fine in the amount of Dirhams</w:t>
      </w:r>
      <w:r w:rsidR="00D16E69" w:rsidRPr="00F11E57">
        <w:rPr>
          <w:rFonts w:ascii="Lucida Sans Unicode" w:hAnsi="Lucida Sans Unicode" w:cs="Lucida Sans Unicode"/>
        </w:rPr>
        <w:t xml:space="preserve"> 1,000</w:t>
      </w:r>
      <w:r w:rsidR="00237970" w:rsidRPr="00F11E57">
        <w:rPr>
          <w:rFonts w:ascii="Lucida Sans Unicode" w:hAnsi="Lucida Sans Unicode" w:cs="Lucida Sans Unicode"/>
        </w:rPr>
        <w:t xml:space="preserve"> (one thousand)</w:t>
      </w:r>
      <w:r w:rsidR="00D16E69" w:rsidRPr="00F11E57">
        <w:rPr>
          <w:rFonts w:ascii="Lucida Sans Unicode" w:hAnsi="Lucida Sans Unicode" w:cs="Lucida Sans Unicode"/>
        </w:rPr>
        <w:t xml:space="preserve"> per each </w:t>
      </w:r>
      <w:r w:rsidR="000718F8" w:rsidRPr="00F11E57">
        <w:rPr>
          <w:rFonts w:ascii="Lucida Sans Unicode" w:hAnsi="Lucida Sans Unicode" w:cs="Lucida Sans Unicode"/>
        </w:rPr>
        <w:t>New</w:t>
      </w:r>
      <w:r w:rsidR="00D16E69" w:rsidRPr="00F11E57">
        <w:rPr>
          <w:rFonts w:ascii="Lucida Sans Unicode" w:hAnsi="Lucida Sans Unicode" w:cs="Lucida Sans Unicode"/>
        </w:rPr>
        <w:t xml:space="preserve"> Account shall be imposed on any Financial I</w:t>
      </w:r>
      <w:r w:rsidRPr="00F11E57">
        <w:rPr>
          <w:rFonts w:ascii="Lucida Sans Unicode" w:hAnsi="Lucida Sans Unicode" w:cs="Lucida Sans Unicode"/>
        </w:rPr>
        <w:t xml:space="preserve">nstitution that </w:t>
      </w:r>
      <w:r w:rsidR="00237970" w:rsidRPr="00F11E57">
        <w:rPr>
          <w:rFonts w:ascii="Lucida Sans Unicode" w:hAnsi="Lucida Sans Unicode" w:cs="Lucida Sans Unicode"/>
        </w:rPr>
        <w:t>open</w:t>
      </w:r>
      <w:r w:rsidR="00D16E69" w:rsidRPr="00F11E57">
        <w:rPr>
          <w:rFonts w:ascii="Lucida Sans Unicode" w:hAnsi="Lucida Sans Unicode" w:cs="Lucida Sans Unicode"/>
        </w:rPr>
        <w:t xml:space="preserve">s a </w:t>
      </w:r>
      <w:r w:rsidR="000718F8" w:rsidRPr="00F11E57">
        <w:rPr>
          <w:rFonts w:ascii="Lucida Sans Unicode" w:hAnsi="Lucida Sans Unicode" w:cs="Lucida Sans Unicode"/>
        </w:rPr>
        <w:t>New</w:t>
      </w:r>
      <w:r w:rsidR="00D16E69" w:rsidRPr="00F11E57">
        <w:rPr>
          <w:rFonts w:ascii="Lucida Sans Unicode" w:hAnsi="Lucida Sans Unicode" w:cs="Lucida Sans Unicode"/>
        </w:rPr>
        <w:t xml:space="preserve"> A</w:t>
      </w:r>
      <w:r w:rsidRPr="00F11E57">
        <w:rPr>
          <w:rFonts w:ascii="Lucida Sans Unicode" w:hAnsi="Lucida Sans Unicode" w:cs="Lucida Sans Unicode"/>
        </w:rPr>
        <w:t xml:space="preserve">ccount without </w:t>
      </w:r>
      <w:r w:rsidR="00237970" w:rsidRPr="00F11E57">
        <w:rPr>
          <w:rFonts w:ascii="Lucida Sans Unicode" w:hAnsi="Lucida Sans Unicode" w:cs="Lucida Sans Unicode"/>
        </w:rPr>
        <w:t xml:space="preserve">obtaining </w:t>
      </w:r>
      <w:r w:rsidR="00FC3C23" w:rsidRPr="00F11E57">
        <w:rPr>
          <w:rFonts w:ascii="Lucida Sans Unicode" w:hAnsi="Lucida Sans Unicode" w:cs="Lucida Sans Unicode"/>
        </w:rPr>
        <w:t>a valid self-</w:t>
      </w:r>
      <w:r w:rsidR="006121E2" w:rsidRPr="00F11E57">
        <w:rPr>
          <w:rFonts w:ascii="Lucida Sans Unicode" w:hAnsi="Lucida Sans Unicode" w:cs="Lucida Sans Unicode"/>
        </w:rPr>
        <w:t xml:space="preserve">certification and/or </w:t>
      </w:r>
      <w:r w:rsidR="00237970" w:rsidRPr="00F11E57">
        <w:rPr>
          <w:rFonts w:ascii="Lucida Sans Unicode" w:hAnsi="Lucida Sans Unicode" w:cs="Lucida Sans Unicode"/>
        </w:rPr>
        <w:t xml:space="preserve">failing to validate such self-certification </w:t>
      </w:r>
      <w:r w:rsidR="006121E2" w:rsidRPr="00F11E57">
        <w:rPr>
          <w:rFonts w:ascii="Lucida Sans Unicode" w:hAnsi="Lucida Sans Unicode" w:cs="Lucida Sans Unicode"/>
        </w:rPr>
        <w:t>if and when required under these Regulations</w:t>
      </w:r>
      <w:r w:rsidRPr="00F11E57">
        <w:rPr>
          <w:rFonts w:ascii="Lucida Sans Unicode" w:hAnsi="Lucida Sans Unicode" w:cs="Lucida Sans Unicode"/>
        </w:rPr>
        <w:t>.</w:t>
      </w:r>
    </w:p>
    <w:p w14:paraId="11412171" w14:textId="77777777" w:rsidR="0016403F" w:rsidRPr="00F11E57" w:rsidRDefault="0016403F" w:rsidP="0079252B">
      <w:pPr>
        <w:pStyle w:val="TableParagraph"/>
        <w:spacing w:before="1" w:line="274" w:lineRule="auto"/>
        <w:ind w:left="1418"/>
        <w:jc w:val="both"/>
        <w:rPr>
          <w:rFonts w:ascii="Lucida Sans Unicode" w:hAnsi="Lucida Sans Unicode" w:cs="Lucida Sans Unicode"/>
        </w:rPr>
      </w:pPr>
    </w:p>
    <w:p w14:paraId="18B6F5C1" w14:textId="5DCB7EFF" w:rsidR="0016403F" w:rsidRPr="00F11E57" w:rsidRDefault="0079252B" w:rsidP="0079252B">
      <w:pPr>
        <w:pStyle w:val="TableParagraph"/>
        <w:spacing w:before="1" w:line="274" w:lineRule="auto"/>
        <w:ind w:left="284"/>
        <w:jc w:val="both"/>
        <w:rPr>
          <w:rFonts w:ascii="Lucida Sans Unicode" w:hAnsi="Lucida Sans Unicode" w:cs="Lucida Sans Unicode"/>
        </w:rPr>
      </w:pPr>
      <w:r w:rsidRPr="00F11E57">
        <w:rPr>
          <w:rFonts w:ascii="Lucida Sans Unicode" w:hAnsi="Lucida Sans Unicode" w:cs="Lucida Sans Unicode"/>
        </w:rPr>
        <w:t>2</w:t>
      </w:r>
      <w:r w:rsidR="0016403F" w:rsidRPr="00F11E57">
        <w:rPr>
          <w:rFonts w:ascii="Lucida Sans Unicode" w:hAnsi="Lucida Sans Unicode" w:cs="Lucida Sans Unicode"/>
        </w:rPr>
        <w:t>. The Regulat</w:t>
      </w:r>
      <w:r w:rsidR="006121E2" w:rsidRPr="00F11E57">
        <w:rPr>
          <w:rFonts w:ascii="Lucida Sans Unicode" w:hAnsi="Lucida Sans Unicode" w:cs="Lucida Sans Unicode"/>
        </w:rPr>
        <w:t>ory Authority shall, within thirty days (30) upon becoming aware of the violation mentioned in subparagraph (1), notify the Financial I</w:t>
      </w:r>
      <w:r w:rsidR="0016403F" w:rsidRPr="00F11E57">
        <w:rPr>
          <w:rFonts w:ascii="Lucida Sans Unicode" w:hAnsi="Lucida Sans Unicode" w:cs="Lucida Sans Unicode"/>
        </w:rPr>
        <w:t xml:space="preserve">nstitution of </w:t>
      </w:r>
      <w:r w:rsidR="006121E2" w:rsidRPr="00F11E57">
        <w:rPr>
          <w:rFonts w:ascii="Lucida Sans Unicode" w:hAnsi="Lucida Sans Unicode" w:cs="Lucida Sans Unicode"/>
        </w:rPr>
        <w:t>this</w:t>
      </w:r>
      <w:r w:rsidR="0016403F" w:rsidRPr="00F11E57">
        <w:rPr>
          <w:rFonts w:ascii="Lucida Sans Unicode" w:hAnsi="Lucida Sans Unicode" w:cs="Lucida Sans Unicode"/>
        </w:rPr>
        <w:t xml:space="preserve"> violation</w:t>
      </w:r>
      <w:r w:rsidR="006B6D39" w:rsidRPr="00F11E57">
        <w:rPr>
          <w:rFonts w:ascii="Lucida Sans Unicode" w:hAnsi="Lucida Sans Unicode" w:cs="Lucida Sans Unicode"/>
        </w:rPr>
        <w:t xml:space="preserve">, </w:t>
      </w:r>
      <w:r w:rsidR="00F9652F" w:rsidRPr="00F11E57">
        <w:rPr>
          <w:rFonts w:ascii="Lucida Sans Unicode" w:hAnsi="Lucida Sans Unicode" w:cs="Lucida Sans Unicode"/>
        </w:rPr>
        <w:t xml:space="preserve">and </w:t>
      </w:r>
      <w:r w:rsidR="006B6D39" w:rsidRPr="00F11E57">
        <w:rPr>
          <w:rFonts w:ascii="Lucida Sans Unicode" w:hAnsi="Lucida Sans Unicode" w:cs="Lucida Sans Unicode"/>
        </w:rPr>
        <w:t>the amount of the fine</w:t>
      </w:r>
      <w:r w:rsidR="006121E2" w:rsidRPr="00F11E57">
        <w:rPr>
          <w:rFonts w:ascii="Lucida Sans Unicode" w:hAnsi="Lucida Sans Unicode" w:cs="Lucida Sans Unicode"/>
        </w:rPr>
        <w:t>. The Financial I</w:t>
      </w:r>
      <w:r w:rsidR="0016403F" w:rsidRPr="00F11E57">
        <w:rPr>
          <w:rFonts w:ascii="Lucida Sans Unicode" w:hAnsi="Lucida Sans Unicode" w:cs="Lucida Sans Unicode"/>
        </w:rPr>
        <w:t xml:space="preserve">nstitution </w:t>
      </w:r>
      <w:r w:rsidR="00F9652F" w:rsidRPr="00F11E57">
        <w:rPr>
          <w:rFonts w:ascii="Lucida Sans Unicode" w:hAnsi="Lucida Sans Unicode" w:cs="Lucida Sans Unicode"/>
        </w:rPr>
        <w:t>shall</w:t>
      </w:r>
      <w:r w:rsidR="0016403F" w:rsidRPr="00F11E57">
        <w:rPr>
          <w:rFonts w:ascii="Lucida Sans Unicode" w:hAnsi="Lucida Sans Unicode" w:cs="Lucida Sans Unicode"/>
        </w:rPr>
        <w:t xml:space="preserve"> pay the </w:t>
      </w:r>
      <w:r w:rsidR="006121E2" w:rsidRPr="00F11E57">
        <w:rPr>
          <w:rFonts w:ascii="Lucida Sans Unicode" w:hAnsi="Lucida Sans Unicode" w:cs="Lucida Sans Unicode"/>
        </w:rPr>
        <w:t xml:space="preserve">fine </w:t>
      </w:r>
      <w:r w:rsidR="0016403F" w:rsidRPr="00F11E57">
        <w:rPr>
          <w:rFonts w:ascii="Lucida Sans Unicode" w:hAnsi="Lucida Sans Unicode" w:cs="Lucida Sans Unicode"/>
        </w:rPr>
        <w:t xml:space="preserve">within thirty </w:t>
      </w:r>
      <w:r w:rsidR="00F9652F" w:rsidRPr="00F11E57">
        <w:rPr>
          <w:rFonts w:ascii="Lucida Sans Unicode" w:hAnsi="Lucida Sans Unicode" w:cs="Lucida Sans Unicode"/>
        </w:rPr>
        <w:t xml:space="preserve">(30) </w:t>
      </w:r>
      <w:r w:rsidR="0016403F" w:rsidRPr="00F11E57">
        <w:rPr>
          <w:rFonts w:ascii="Lucida Sans Unicode" w:hAnsi="Lucida Sans Unicode" w:cs="Lucida Sans Unicode"/>
        </w:rPr>
        <w:t>days</w:t>
      </w:r>
      <w:r w:rsidR="006121E2" w:rsidRPr="00F11E57">
        <w:rPr>
          <w:rFonts w:ascii="Lucida Sans Unicode" w:hAnsi="Lucida Sans Unicode" w:cs="Lucida Sans Unicode"/>
        </w:rPr>
        <w:t xml:space="preserve"> of </w:t>
      </w:r>
      <w:r w:rsidR="0016403F" w:rsidRPr="00F11E57">
        <w:rPr>
          <w:rFonts w:ascii="Lucida Sans Unicode" w:hAnsi="Lucida Sans Unicode" w:cs="Lucida Sans Unicode"/>
        </w:rPr>
        <w:t>receipt of such notification.</w:t>
      </w:r>
    </w:p>
    <w:p w14:paraId="27AB6A98" w14:textId="77777777" w:rsidR="0014215F" w:rsidRPr="00F11E57" w:rsidRDefault="0014215F" w:rsidP="0079252B">
      <w:pPr>
        <w:pStyle w:val="TableParagraph"/>
        <w:spacing w:before="1" w:line="274" w:lineRule="auto"/>
        <w:ind w:left="1418"/>
        <w:jc w:val="both"/>
        <w:rPr>
          <w:rFonts w:ascii="Lucida Sans Unicode" w:hAnsi="Lucida Sans Unicode" w:cs="Lucida Sans Unicode"/>
        </w:rPr>
      </w:pPr>
    </w:p>
    <w:p w14:paraId="1F812E3F" w14:textId="77777777" w:rsidR="0016403F" w:rsidRPr="00F11E57" w:rsidRDefault="0016403F" w:rsidP="0016403F">
      <w:pPr>
        <w:pStyle w:val="TableParagraph"/>
        <w:spacing w:before="1" w:line="274" w:lineRule="auto"/>
        <w:jc w:val="both"/>
        <w:rPr>
          <w:rFonts w:ascii="Lucida Sans Unicode"/>
        </w:rPr>
      </w:pPr>
    </w:p>
    <w:p w14:paraId="39D7FA48" w14:textId="549F1AAA" w:rsidR="0016403F" w:rsidRPr="00F11E57" w:rsidRDefault="0016403F" w:rsidP="0016403F">
      <w:pPr>
        <w:pStyle w:val="TableParagraph"/>
        <w:spacing w:before="1" w:line="274" w:lineRule="auto"/>
        <w:jc w:val="both"/>
        <w:rPr>
          <w:rFonts w:ascii="Lucida Sans Unicode"/>
          <w:lang w:val="en-GB"/>
        </w:rPr>
      </w:pPr>
    </w:p>
    <w:p w14:paraId="2DA97C5E" w14:textId="77777777" w:rsidR="0016403F" w:rsidRPr="00F11E57" w:rsidRDefault="0016403F" w:rsidP="0016403F">
      <w:pPr>
        <w:pStyle w:val="TableParagraph"/>
        <w:spacing w:before="1" w:line="274" w:lineRule="auto"/>
        <w:jc w:val="both"/>
        <w:rPr>
          <w:rFonts w:ascii="Lucida Sans Unicode"/>
          <w:lang w:val="en-GB"/>
        </w:rPr>
        <w:sectPr w:rsidR="0016403F" w:rsidRPr="00F11E57" w:rsidSect="004F4016">
          <w:pgSz w:w="11910" w:h="16840" w:code="9"/>
          <w:pgMar w:top="1382" w:right="864" w:bottom="1195" w:left="1181" w:header="0" w:footer="1008" w:gutter="0"/>
          <w:cols w:space="720"/>
        </w:sectPr>
      </w:pPr>
    </w:p>
    <w:p w14:paraId="157D734E" w14:textId="53CB2502" w:rsidR="00AB5574" w:rsidRPr="00F11E57" w:rsidRDefault="006F79B6" w:rsidP="0014215F">
      <w:pPr>
        <w:jc w:val="center"/>
        <w:rPr>
          <w:b/>
          <w:lang w:val="en-GB"/>
        </w:rPr>
      </w:pPr>
      <w:bookmarkStart w:id="18" w:name="_bookmark4"/>
      <w:bookmarkEnd w:id="18"/>
      <w:r w:rsidRPr="00F11E57">
        <w:rPr>
          <w:b/>
          <w:lang w:val="en-GB"/>
        </w:rPr>
        <w:lastRenderedPageBreak/>
        <w:t>AUTOMATIC EXCHANGE OF FINANCIAL ACCOUNT INFORMATION REGULATIONS</w:t>
      </w:r>
    </w:p>
    <w:p w14:paraId="08BD4591" w14:textId="77777777" w:rsidR="00AB5574" w:rsidRPr="00F11E57" w:rsidRDefault="00AB5574" w:rsidP="005557B1">
      <w:pPr>
        <w:pStyle w:val="BodyText"/>
        <w:spacing w:before="1" w:line="274" w:lineRule="auto"/>
        <w:ind w:firstLine="0"/>
        <w:rPr>
          <w:b/>
          <w:sz w:val="19"/>
          <w:lang w:val="en-GB"/>
        </w:rPr>
      </w:pPr>
    </w:p>
    <w:p w14:paraId="60227110" w14:textId="77777777" w:rsidR="00AB5574" w:rsidRPr="00F11E57" w:rsidRDefault="006F79B6" w:rsidP="005557B1">
      <w:pPr>
        <w:pStyle w:val="BodyText"/>
        <w:spacing w:before="1" w:line="274" w:lineRule="auto"/>
        <w:ind w:left="2143" w:right="2457" w:firstLine="0"/>
        <w:jc w:val="center"/>
        <w:rPr>
          <w:lang w:val="en-GB"/>
        </w:rPr>
      </w:pPr>
      <w:r w:rsidRPr="00F11E57">
        <w:rPr>
          <w:lang w:val="en-GB"/>
        </w:rPr>
        <w:t>SECTION I</w:t>
      </w:r>
    </w:p>
    <w:p w14:paraId="24586528" w14:textId="77777777" w:rsidR="00AB5574" w:rsidRPr="00F11E57" w:rsidRDefault="00AB5574" w:rsidP="005557B1">
      <w:pPr>
        <w:pStyle w:val="BodyText"/>
        <w:spacing w:before="1" w:line="274" w:lineRule="auto"/>
        <w:ind w:firstLine="0"/>
        <w:rPr>
          <w:sz w:val="19"/>
          <w:lang w:val="en-GB"/>
        </w:rPr>
      </w:pPr>
    </w:p>
    <w:p w14:paraId="6E2D6A0C" w14:textId="77777777" w:rsidR="00AB5574" w:rsidRPr="00F11E57" w:rsidRDefault="006F79B6" w:rsidP="005557B1">
      <w:pPr>
        <w:pStyle w:val="BodyText"/>
        <w:spacing w:before="1" w:line="274" w:lineRule="auto"/>
        <w:ind w:left="3059" w:firstLine="0"/>
        <w:rPr>
          <w:lang w:val="en-GB"/>
        </w:rPr>
      </w:pPr>
      <w:r w:rsidRPr="00F11E57">
        <w:rPr>
          <w:lang w:val="en-GB"/>
        </w:rPr>
        <w:t>GENERAL REPORTING REQUIREMENTS</w:t>
      </w:r>
    </w:p>
    <w:p w14:paraId="5F4A493D" w14:textId="77777777" w:rsidR="00AB5574" w:rsidRPr="00F11E57" w:rsidRDefault="00AB5574" w:rsidP="005557B1">
      <w:pPr>
        <w:pStyle w:val="BodyText"/>
        <w:spacing w:before="1" w:line="274" w:lineRule="auto"/>
        <w:ind w:firstLine="0"/>
        <w:rPr>
          <w:sz w:val="19"/>
          <w:lang w:val="en-GB"/>
        </w:rPr>
      </w:pPr>
    </w:p>
    <w:p w14:paraId="3FE8A52B" w14:textId="62EC9BE7" w:rsidR="00AB5574" w:rsidRPr="00F11E57" w:rsidRDefault="006F79B6" w:rsidP="00641A58">
      <w:pPr>
        <w:pStyle w:val="ListParagraph"/>
        <w:numPr>
          <w:ilvl w:val="0"/>
          <w:numId w:val="24"/>
        </w:numPr>
        <w:tabs>
          <w:tab w:val="left" w:pos="506"/>
        </w:tabs>
        <w:spacing w:before="1" w:line="274" w:lineRule="auto"/>
        <w:ind w:right="654" w:firstLine="0"/>
        <w:jc w:val="both"/>
        <w:rPr>
          <w:lang w:val="en-GB"/>
        </w:rPr>
      </w:pPr>
      <w:r w:rsidRPr="00F11E57">
        <w:rPr>
          <w:lang w:val="en-GB"/>
        </w:rPr>
        <w:t>Subject to paragraphs C through E, each Reporting Financial Institution must collect and report to the UAE Competent Authority</w:t>
      </w:r>
      <w:r w:rsidR="008C4A06" w:rsidRPr="00F11E57">
        <w:rPr>
          <w:lang w:val="en-GB"/>
        </w:rPr>
        <w:t xml:space="preserve"> (directly or indirectly via the Regulator</w:t>
      </w:r>
      <w:r w:rsidR="007A268B" w:rsidRPr="00F11E57">
        <w:rPr>
          <w:lang w:val="en-GB"/>
        </w:rPr>
        <w:t>y Authority</w:t>
      </w:r>
      <w:r w:rsidR="008C4A06" w:rsidRPr="00F11E57">
        <w:rPr>
          <w:lang w:val="en-GB"/>
        </w:rPr>
        <w:t>)</w:t>
      </w:r>
      <w:r w:rsidRPr="00F11E57">
        <w:rPr>
          <w:lang w:val="en-GB"/>
        </w:rPr>
        <w:t xml:space="preserve"> the following information with respect to each Reportable Account of such Reporting Financial</w:t>
      </w:r>
      <w:r w:rsidRPr="00F11E57">
        <w:rPr>
          <w:spacing w:val="-4"/>
          <w:lang w:val="en-GB"/>
        </w:rPr>
        <w:t xml:space="preserve"> </w:t>
      </w:r>
      <w:r w:rsidRPr="00F11E57">
        <w:rPr>
          <w:lang w:val="en-GB"/>
        </w:rPr>
        <w:t>Institution:</w:t>
      </w:r>
    </w:p>
    <w:p w14:paraId="5B152DB3" w14:textId="77777777" w:rsidR="00AB5574" w:rsidRPr="00F11E57" w:rsidRDefault="00AB5574" w:rsidP="005557B1">
      <w:pPr>
        <w:pStyle w:val="BodyText"/>
        <w:spacing w:before="1" w:line="274" w:lineRule="auto"/>
        <w:ind w:firstLine="0"/>
        <w:rPr>
          <w:sz w:val="16"/>
          <w:lang w:val="en-GB"/>
        </w:rPr>
      </w:pPr>
    </w:p>
    <w:p w14:paraId="56870604" w14:textId="77777777" w:rsidR="00AB5574" w:rsidRPr="00F11E57" w:rsidRDefault="006F79B6" w:rsidP="00641A58">
      <w:pPr>
        <w:pStyle w:val="ListParagraph"/>
        <w:numPr>
          <w:ilvl w:val="0"/>
          <w:numId w:val="23"/>
        </w:numPr>
        <w:tabs>
          <w:tab w:val="left" w:pos="621"/>
        </w:tabs>
        <w:spacing w:before="1" w:line="274" w:lineRule="auto"/>
        <w:ind w:right="648"/>
        <w:rPr>
          <w:lang w:val="en-GB"/>
        </w:rPr>
      </w:pPr>
      <w:r w:rsidRPr="00F11E57">
        <w:rPr>
          <w:lang w:val="en-GB"/>
        </w:rPr>
        <w:t>the name, address, jurisdiction(s) of residence, TIN(s) and date and place of birth (in the case of an individual) of each Reportable Person that is an Account Holder of the account and, in the case of any Entity that is an Account Holder and that, after application of the due diligence procedures consistent with Sections V, VI and VII, is identified as having one or more Controlling Persons that is a Reportable Person, the name, address, jurisdiction(s) of residence and TIN(s) of the Entity and the name, address, jurisdiction(s) of residence, TIN(s) and date and place of birth of each Reportable</w:t>
      </w:r>
      <w:r w:rsidRPr="00F11E57">
        <w:rPr>
          <w:spacing w:val="-4"/>
          <w:lang w:val="en-GB"/>
        </w:rPr>
        <w:t xml:space="preserve"> </w:t>
      </w:r>
      <w:r w:rsidRPr="00F11E57">
        <w:rPr>
          <w:lang w:val="en-GB"/>
        </w:rPr>
        <w:t>Person;</w:t>
      </w:r>
    </w:p>
    <w:p w14:paraId="14FEA711" w14:textId="77777777" w:rsidR="00AB5574" w:rsidRPr="00F11E57" w:rsidRDefault="006F79B6" w:rsidP="00641A58">
      <w:pPr>
        <w:pStyle w:val="ListParagraph"/>
        <w:numPr>
          <w:ilvl w:val="0"/>
          <w:numId w:val="23"/>
        </w:numPr>
        <w:tabs>
          <w:tab w:val="left" w:pos="621"/>
        </w:tabs>
        <w:spacing w:before="1" w:line="274" w:lineRule="auto"/>
        <w:rPr>
          <w:lang w:val="en-GB"/>
        </w:rPr>
      </w:pPr>
      <w:r w:rsidRPr="00F11E57">
        <w:rPr>
          <w:lang w:val="en-GB"/>
        </w:rPr>
        <w:t>the account number (or functional equivalent in the absence of an account</w:t>
      </w:r>
      <w:r w:rsidRPr="00F11E57">
        <w:rPr>
          <w:spacing w:val="-15"/>
          <w:lang w:val="en-GB"/>
        </w:rPr>
        <w:t xml:space="preserve"> </w:t>
      </w:r>
      <w:r w:rsidRPr="00F11E57">
        <w:rPr>
          <w:lang w:val="en-GB"/>
        </w:rPr>
        <w:t>number);</w:t>
      </w:r>
    </w:p>
    <w:p w14:paraId="085BE1F7" w14:textId="77777777" w:rsidR="00AB5574" w:rsidRPr="00F11E57" w:rsidRDefault="006F79B6" w:rsidP="00641A58">
      <w:pPr>
        <w:pStyle w:val="ListParagraph"/>
        <w:numPr>
          <w:ilvl w:val="0"/>
          <w:numId w:val="23"/>
        </w:numPr>
        <w:tabs>
          <w:tab w:val="left" w:pos="621"/>
        </w:tabs>
        <w:spacing w:before="1" w:line="274" w:lineRule="auto"/>
        <w:rPr>
          <w:lang w:val="en-GB"/>
        </w:rPr>
      </w:pPr>
      <w:r w:rsidRPr="00F11E57">
        <w:rPr>
          <w:lang w:val="en-GB"/>
        </w:rPr>
        <w:t>the name and identifying number (if any) of the Reporting Financial</w:t>
      </w:r>
      <w:r w:rsidRPr="00F11E57">
        <w:rPr>
          <w:spacing w:val="-13"/>
          <w:lang w:val="en-GB"/>
        </w:rPr>
        <w:t xml:space="preserve"> </w:t>
      </w:r>
      <w:r w:rsidRPr="00F11E57">
        <w:rPr>
          <w:lang w:val="en-GB"/>
        </w:rPr>
        <w:t>Institution;</w:t>
      </w:r>
    </w:p>
    <w:p w14:paraId="47F86957" w14:textId="77777777" w:rsidR="00AB5574" w:rsidRPr="00F11E57" w:rsidRDefault="006F79B6" w:rsidP="00641A58">
      <w:pPr>
        <w:pStyle w:val="ListParagraph"/>
        <w:numPr>
          <w:ilvl w:val="0"/>
          <w:numId w:val="23"/>
        </w:numPr>
        <w:tabs>
          <w:tab w:val="left" w:pos="621"/>
        </w:tabs>
        <w:spacing w:before="1" w:line="274" w:lineRule="auto"/>
        <w:ind w:right="673"/>
        <w:rPr>
          <w:lang w:val="en-GB"/>
        </w:rPr>
      </w:pPr>
      <w:r w:rsidRPr="00F11E57">
        <w:rPr>
          <w:lang w:val="en-GB"/>
        </w:rPr>
        <w:t>the account balance or value (including, in the case of a Cash Value Insurance Contract or Annuity Contract, the Cash Value or surrender value) as of the end of the relevant calendar year or, if the account was closed during such year, the closure of the</w:t>
      </w:r>
      <w:r w:rsidRPr="00F11E57">
        <w:rPr>
          <w:spacing w:val="-17"/>
          <w:lang w:val="en-GB"/>
        </w:rPr>
        <w:t xml:space="preserve"> </w:t>
      </w:r>
      <w:r w:rsidRPr="00F11E57">
        <w:rPr>
          <w:lang w:val="en-GB"/>
        </w:rPr>
        <w:t>account;</w:t>
      </w:r>
    </w:p>
    <w:p w14:paraId="1FEE19AE" w14:textId="77777777" w:rsidR="00AB5574" w:rsidRPr="00F11E57" w:rsidRDefault="006F79B6" w:rsidP="00641A58">
      <w:pPr>
        <w:pStyle w:val="ListParagraph"/>
        <w:numPr>
          <w:ilvl w:val="0"/>
          <w:numId w:val="23"/>
        </w:numPr>
        <w:tabs>
          <w:tab w:val="left" w:pos="621"/>
        </w:tabs>
        <w:spacing w:before="1" w:line="274" w:lineRule="auto"/>
        <w:rPr>
          <w:lang w:val="en-GB"/>
        </w:rPr>
      </w:pPr>
      <w:r w:rsidRPr="00F11E57">
        <w:rPr>
          <w:lang w:val="en-GB"/>
        </w:rPr>
        <w:t>in the case of any Custodial</w:t>
      </w:r>
      <w:r w:rsidRPr="00F11E57">
        <w:rPr>
          <w:spacing w:val="-10"/>
          <w:lang w:val="en-GB"/>
        </w:rPr>
        <w:t xml:space="preserve"> </w:t>
      </w:r>
      <w:r w:rsidRPr="00F11E57">
        <w:rPr>
          <w:lang w:val="en-GB"/>
        </w:rPr>
        <w:t>Account:</w:t>
      </w:r>
    </w:p>
    <w:p w14:paraId="0C5BF158" w14:textId="77777777" w:rsidR="00AB5574" w:rsidRPr="00F11E57" w:rsidRDefault="006F79B6" w:rsidP="00641A58">
      <w:pPr>
        <w:pStyle w:val="ListParagraph"/>
        <w:numPr>
          <w:ilvl w:val="1"/>
          <w:numId w:val="23"/>
        </w:numPr>
        <w:tabs>
          <w:tab w:val="left" w:pos="981"/>
        </w:tabs>
        <w:spacing w:before="1" w:line="274" w:lineRule="auto"/>
        <w:ind w:right="801"/>
        <w:rPr>
          <w:lang w:val="en-GB"/>
        </w:rPr>
      </w:pPr>
      <w:r w:rsidRPr="00F11E57">
        <w:rPr>
          <w:lang w:val="en-GB"/>
        </w:rPr>
        <w:t>the total gross amount of interest, the total gross amount of dividends, and the total gross amount of other income generated with respect to the assets held in the account, in each case paid or credited to the account (or with respect to the account) during the calendar year;</w:t>
      </w:r>
      <w:r w:rsidRPr="00F11E57">
        <w:rPr>
          <w:spacing w:val="-2"/>
          <w:lang w:val="en-GB"/>
        </w:rPr>
        <w:t xml:space="preserve"> </w:t>
      </w:r>
      <w:r w:rsidRPr="00F11E57">
        <w:rPr>
          <w:lang w:val="en-GB"/>
        </w:rPr>
        <w:t>and</w:t>
      </w:r>
    </w:p>
    <w:p w14:paraId="3E467B3C" w14:textId="77777777" w:rsidR="00AB5574" w:rsidRPr="00F11E57" w:rsidRDefault="006F79B6" w:rsidP="00641A58">
      <w:pPr>
        <w:pStyle w:val="ListParagraph"/>
        <w:numPr>
          <w:ilvl w:val="1"/>
          <w:numId w:val="23"/>
        </w:numPr>
        <w:tabs>
          <w:tab w:val="left" w:pos="981"/>
        </w:tabs>
        <w:spacing w:before="1" w:line="274" w:lineRule="auto"/>
        <w:ind w:right="737"/>
        <w:rPr>
          <w:lang w:val="en-GB"/>
        </w:rPr>
      </w:pPr>
      <w:r w:rsidRPr="00F11E57">
        <w:rPr>
          <w:lang w:val="en-GB"/>
        </w:rPr>
        <w:t>the total gross proceeds from the sale or redemption of Financial Assets paid or credited to the account during the calendar year with respect to which the Reporting Financial Institution acted as a custodian, broker, nominee, or otherwise as an agent for the Account Holder;</w:t>
      </w:r>
    </w:p>
    <w:p w14:paraId="30F28477" w14:textId="77777777" w:rsidR="00AB5574" w:rsidRPr="00F11E57" w:rsidRDefault="006F79B6" w:rsidP="00641A58">
      <w:pPr>
        <w:pStyle w:val="ListParagraph"/>
        <w:numPr>
          <w:ilvl w:val="0"/>
          <w:numId w:val="23"/>
        </w:numPr>
        <w:tabs>
          <w:tab w:val="left" w:pos="621"/>
        </w:tabs>
        <w:spacing w:before="1" w:line="274" w:lineRule="auto"/>
        <w:ind w:right="686"/>
        <w:rPr>
          <w:lang w:val="en-GB"/>
        </w:rPr>
      </w:pPr>
      <w:r w:rsidRPr="00F11E57">
        <w:rPr>
          <w:lang w:val="en-GB"/>
        </w:rPr>
        <w:t>in the case of any Depository Account, the total gross amount of interest paid or credited to the account during the calendar year;</w:t>
      </w:r>
      <w:r w:rsidRPr="00F11E57">
        <w:rPr>
          <w:spacing w:val="-1"/>
          <w:lang w:val="en-GB"/>
        </w:rPr>
        <w:t xml:space="preserve"> </w:t>
      </w:r>
      <w:r w:rsidRPr="00F11E57">
        <w:rPr>
          <w:lang w:val="en-GB"/>
        </w:rPr>
        <w:t>and</w:t>
      </w:r>
    </w:p>
    <w:p w14:paraId="62D090A3" w14:textId="77777777" w:rsidR="00AB5574" w:rsidRPr="00F11E57" w:rsidRDefault="006F79B6" w:rsidP="00641A58">
      <w:pPr>
        <w:pStyle w:val="ListParagraph"/>
        <w:numPr>
          <w:ilvl w:val="0"/>
          <w:numId w:val="23"/>
        </w:numPr>
        <w:tabs>
          <w:tab w:val="left" w:pos="621"/>
        </w:tabs>
        <w:spacing w:before="1" w:line="274" w:lineRule="auto"/>
        <w:ind w:right="578"/>
        <w:rPr>
          <w:lang w:val="en-GB"/>
        </w:rPr>
      </w:pPr>
      <w:r w:rsidRPr="00F11E57">
        <w:rPr>
          <w:lang w:val="en-GB"/>
        </w:rPr>
        <w:t xml:space="preserve">in the case of any account not described in subparagraph A(5) or (6), the total gross amount paid or credited to the Account Holder with respect to the </w:t>
      </w:r>
      <w:r w:rsidRPr="00F11E57">
        <w:rPr>
          <w:lang w:val="en-GB"/>
        </w:rPr>
        <w:lastRenderedPageBreak/>
        <w:t>account during the calendar year with respect to which the Reporting Financial Institution is the obligor or debtor, including the aggregate amount of any redemption payments made to the Account Holder during the calendar year.</w:t>
      </w:r>
    </w:p>
    <w:p w14:paraId="76499B06" w14:textId="77777777" w:rsidR="00AB5574" w:rsidRPr="00F11E57" w:rsidRDefault="00AB5574" w:rsidP="005557B1">
      <w:pPr>
        <w:pStyle w:val="BodyText"/>
        <w:spacing w:before="1" w:line="274" w:lineRule="auto"/>
        <w:ind w:firstLine="0"/>
        <w:rPr>
          <w:sz w:val="16"/>
          <w:lang w:val="en-GB"/>
        </w:rPr>
      </w:pPr>
    </w:p>
    <w:p w14:paraId="00CD1EE8" w14:textId="77777777" w:rsidR="00AB5574" w:rsidRPr="00F11E57" w:rsidRDefault="006F79B6" w:rsidP="00641A58">
      <w:pPr>
        <w:pStyle w:val="ListParagraph"/>
        <w:numPr>
          <w:ilvl w:val="0"/>
          <w:numId w:val="24"/>
        </w:numPr>
        <w:tabs>
          <w:tab w:val="left" w:pos="494"/>
        </w:tabs>
        <w:spacing w:before="1" w:line="274" w:lineRule="auto"/>
        <w:ind w:left="493" w:hanging="233"/>
        <w:rPr>
          <w:lang w:val="en-GB"/>
        </w:rPr>
      </w:pPr>
      <w:r w:rsidRPr="00F11E57">
        <w:rPr>
          <w:lang w:val="en-GB"/>
        </w:rPr>
        <w:t>The information reported must identify the currency in which each amount is</w:t>
      </w:r>
      <w:r w:rsidRPr="00F11E57">
        <w:rPr>
          <w:spacing w:val="-14"/>
          <w:lang w:val="en-GB"/>
        </w:rPr>
        <w:t xml:space="preserve"> </w:t>
      </w:r>
      <w:r w:rsidRPr="00F11E57">
        <w:rPr>
          <w:lang w:val="en-GB"/>
        </w:rPr>
        <w:t>denominated.</w:t>
      </w:r>
    </w:p>
    <w:p w14:paraId="5EF89ABC" w14:textId="77777777" w:rsidR="00A6142A" w:rsidRPr="00F11E57" w:rsidRDefault="00A6142A" w:rsidP="005557B1">
      <w:pPr>
        <w:pStyle w:val="BodyText"/>
        <w:spacing w:before="1" w:line="274" w:lineRule="auto"/>
        <w:ind w:firstLine="0"/>
        <w:rPr>
          <w:sz w:val="16"/>
          <w:lang w:val="en-GB"/>
        </w:rPr>
      </w:pPr>
    </w:p>
    <w:p w14:paraId="7AF9997D" w14:textId="77777777" w:rsidR="00AB5574" w:rsidRPr="00F11E57" w:rsidRDefault="006F79B6" w:rsidP="00641A58">
      <w:pPr>
        <w:pStyle w:val="ListParagraph"/>
        <w:numPr>
          <w:ilvl w:val="0"/>
          <w:numId w:val="24"/>
        </w:numPr>
        <w:tabs>
          <w:tab w:val="left" w:pos="489"/>
        </w:tabs>
        <w:spacing w:before="1" w:line="274" w:lineRule="auto"/>
        <w:ind w:right="589" w:firstLine="0"/>
        <w:rPr>
          <w:lang w:val="en-GB"/>
        </w:rPr>
      </w:pPr>
      <w:r w:rsidRPr="00F11E57">
        <w:rPr>
          <w:lang w:val="en-GB"/>
        </w:rPr>
        <w:t>Notwithstanding subparagraph A(1), with respect to each Reportable Account that is a Pre- existing Account or with respect to each Financial Account that is opened prior to becoming a Reportable Account, the TIN(s) or date of birth is not required to be reported if such TIN(s) or date of birth is not in the records of the Reporting Financial Institution and is not otherwise required to be collected by such Reporting Financial Institution under domestic law. However, a Reporting Financial Institution is required to use reasonable efforts to obtain the TIN(s) and date of birth with respect</w:t>
      </w:r>
      <w:r w:rsidRPr="00F11E57">
        <w:rPr>
          <w:spacing w:val="-31"/>
          <w:lang w:val="en-GB"/>
        </w:rPr>
        <w:t xml:space="preserve"> </w:t>
      </w:r>
      <w:r w:rsidRPr="00F11E57">
        <w:rPr>
          <w:lang w:val="en-GB"/>
        </w:rPr>
        <w:t>to</w:t>
      </w:r>
    </w:p>
    <w:p w14:paraId="54824F0A" w14:textId="77777777" w:rsidR="00AB5574" w:rsidRPr="00F11E57" w:rsidRDefault="00AB5574" w:rsidP="005557B1">
      <w:pPr>
        <w:spacing w:before="1" w:line="274" w:lineRule="auto"/>
        <w:rPr>
          <w:lang w:val="en-GB"/>
        </w:rPr>
        <w:sectPr w:rsidR="00AB5574" w:rsidRPr="00F11E57" w:rsidSect="004F4016">
          <w:footerReference w:type="default" r:id="rId20"/>
          <w:pgSz w:w="11910" w:h="16840" w:code="9"/>
          <w:pgMar w:top="1382" w:right="864" w:bottom="1195" w:left="1181" w:header="0" w:footer="1008" w:gutter="0"/>
          <w:pgNumType w:start="1"/>
          <w:cols w:space="720"/>
        </w:sectPr>
      </w:pPr>
    </w:p>
    <w:p w14:paraId="261F0B93" w14:textId="77777777" w:rsidR="00AB5574" w:rsidRPr="00F11E57" w:rsidRDefault="006F79B6" w:rsidP="005557B1">
      <w:pPr>
        <w:pStyle w:val="BodyText"/>
        <w:spacing w:before="1" w:line="274" w:lineRule="auto"/>
        <w:ind w:left="260" w:right="570" w:firstLine="0"/>
        <w:rPr>
          <w:lang w:val="en-GB"/>
        </w:rPr>
      </w:pPr>
      <w:r w:rsidRPr="00F11E57">
        <w:rPr>
          <w:lang w:val="en-GB"/>
        </w:rPr>
        <w:lastRenderedPageBreak/>
        <w:t>Pre-existing Accounts by the end of the second calendar year following the year in which Pre-existing Accounts were identified as Reportable Accounts.</w:t>
      </w:r>
    </w:p>
    <w:p w14:paraId="06B187B2" w14:textId="77777777" w:rsidR="00A6142A" w:rsidRPr="00F11E57" w:rsidRDefault="00A6142A" w:rsidP="005557B1">
      <w:pPr>
        <w:pStyle w:val="BodyText"/>
        <w:spacing w:before="1" w:line="274" w:lineRule="auto"/>
        <w:ind w:firstLine="0"/>
        <w:rPr>
          <w:sz w:val="16"/>
          <w:lang w:val="en-GB"/>
        </w:rPr>
      </w:pPr>
    </w:p>
    <w:p w14:paraId="100BD12F" w14:textId="7898A802" w:rsidR="00AB5574" w:rsidRPr="00F11E57" w:rsidRDefault="006F79B6" w:rsidP="00641A58">
      <w:pPr>
        <w:pStyle w:val="ListParagraph"/>
        <w:numPr>
          <w:ilvl w:val="0"/>
          <w:numId w:val="24"/>
        </w:numPr>
        <w:tabs>
          <w:tab w:val="left" w:pos="479"/>
        </w:tabs>
        <w:spacing w:before="1" w:line="274" w:lineRule="auto"/>
        <w:ind w:right="691" w:firstLine="0"/>
        <w:rPr>
          <w:lang w:val="en-GB"/>
        </w:rPr>
      </w:pPr>
      <w:r w:rsidRPr="00F11E57">
        <w:rPr>
          <w:lang w:val="en-GB"/>
        </w:rPr>
        <w:t>Notwithstanding subparagraph A(1), the TIN is not required to be reported if (i) a TIN is not issued by the relevant Reportable Jurisdiction or (ii) the domestic law of the relevant Reportable Jurisdiction does not require the collection of the TIN issued by such</w:t>
      </w:r>
      <w:r w:rsidRPr="00F11E57">
        <w:rPr>
          <w:spacing w:val="-18"/>
          <w:lang w:val="en-GB"/>
        </w:rPr>
        <w:t xml:space="preserve"> </w:t>
      </w:r>
      <w:r w:rsidR="00217C9A" w:rsidRPr="00F11E57">
        <w:rPr>
          <w:lang w:val="en-GB"/>
        </w:rPr>
        <w:t>Reportable J</w:t>
      </w:r>
      <w:r w:rsidRPr="00F11E57">
        <w:rPr>
          <w:lang w:val="en-GB"/>
        </w:rPr>
        <w:t>urisdiction.</w:t>
      </w:r>
    </w:p>
    <w:p w14:paraId="3064B631" w14:textId="77777777" w:rsidR="00AB5574" w:rsidRPr="00F11E57" w:rsidRDefault="00AB5574" w:rsidP="005557B1">
      <w:pPr>
        <w:pStyle w:val="BodyText"/>
        <w:spacing w:before="1" w:line="274" w:lineRule="auto"/>
        <w:ind w:firstLine="0"/>
        <w:rPr>
          <w:sz w:val="16"/>
          <w:lang w:val="en-GB"/>
        </w:rPr>
      </w:pPr>
    </w:p>
    <w:p w14:paraId="22AE3F88" w14:textId="77777777" w:rsidR="00AB5574" w:rsidRPr="00F11E57" w:rsidRDefault="006F79B6" w:rsidP="00641A58">
      <w:pPr>
        <w:pStyle w:val="ListParagraph"/>
        <w:numPr>
          <w:ilvl w:val="0"/>
          <w:numId w:val="24"/>
        </w:numPr>
        <w:tabs>
          <w:tab w:val="left" w:pos="479"/>
        </w:tabs>
        <w:spacing w:before="1" w:line="274" w:lineRule="auto"/>
        <w:ind w:right="691" w:firstLine="0"/>
        <w:rPr>
          <w:lang w:val="en-GB"/>
        </w:rPr>
      </w:pPr>
      <w:r w:rsidRPr="00F11E57">
        <w:rPr>
          <w:lang w:val="en-GB"/>
        </w:rPr>
        <w:t>Notwithstanding subparagraph A(1), the place of birth is not required to be reported unless the Reporting Financial Institution is otherwise required to obtain and report it under domestic law and it is available in the electronically searchable data maintained by the Reporting Financial</w:t>
      </w:r>
      <w:r w:rsidRPr="00F11E57">
        <w:rPr>
          <w:spacing w:val="-28"/>
          <w:lang w:val="en-GB"/>
        </w:rPr>
        <w:t xml:space="preserve"> </w:t>
      </w:r>
      <w:r w:rsidRPr="00F11E57">
        <w:rPr>
          <w:lang w:val="en-GB"/>
        </w:rPr>
        <w:t>Institution.</w:t>
      </w:r>
    </w:p>
    <w:p w14:paraId="11C8140F" w14:textId="77777777" w:rsidR="00AB5574" w:rsidRPr="00F11E57" w:rsidRDefault="00AB5574" w:rsidP="005557B1">
      <w:pPr>
        <w:pStyle w:val="BodyText"/>
        <w:spacing w:before="1" w:line="274" w:lineRule="auto"/>
        <w:ind w:firstLine="0"/>
        <w:rPr>
          <w:sz w:val="16"/>
          <w:lang w:val="en-GB"/>
        </w:rPr>
      </w:pPr>
    </w:p>
    <w:p w14:paraId="43B63A26" w14:textId="77777777" w:rsidR="00AB5574" w:rsidRPr="00F11E57" w:rsidRDefault="006F79B6" w:rsidP="00641A58">
      <w:pPr>
        <w:pStyle w:val="ListParagraph"/>
        <w:numPr>
          <w:ilvl w:val="0"/>
          <w:numId w:val="24"/>
        </w:numPr>
        <w:tabs>
          <w:tab w:val="left" w:pos="472"/>
        </w:tabs>
        <w:spacing w:before="1" w:line="274" w:lineRule="auto"/>
        <w:ind w:right="647" w:firstLine="0"/>
        <w:jc w:val="both"/>
        <w:rPr>
          <w:lang w:val="en-GB"/>
        </w:rPr>
      </w:pPr>
      <w:r w:rsidRPr="00F11E57">
        <w:rPr>
          <w:lang w:val="en-GB"/>
        </w:rPr>
        <w:t>Each Reporting Financial Institution must file an information return with the Regulatory Authority containing the information described in paragraph A on or before 30</w:t>
      </w:r>
      <w:r w:rsidRPr="00F11E57">
        <w:rPr>
          <w:vertAlign w:val="superscript"/>
          <w:lang w:val="en-GB"/>
        </w:rPr>
        <w:t>th</w:t>
      </w:r>
      <w:r w:rsidRPr="00F11E57">
        <w:rPr>
          <w:lang w:val="en-GB"/>
        </w:rPr>
        <w:t xml:space="preserve"> June of the year following the calendar year to which the return</w:t>
      </w:r>
      <w:r w:rsidRPr="00F11E57">
        <w:rPr>
          <w:spacing w:val="-7"/>
          <w:lang w:val="en-GB"/>
        </w:rPr>
        <w:t xml:space="preserve"> </w:t>
      </w:r>
      <w:r w:rsidRPr="00F11E57">
        <w:rPr>
          <w:lang w:val="en-GB"/>
        </w:rPr>
        <w:t>relates.</w:t>
      </w:r>
    </w:p>
    <w:p w14:paraId="32FF35AF" w14:textId="77777777" w:rsidR="00A6142A" w:rsidRPr="00F11E57" w:rsidRDefault="00A6142A" w:rsidP="005557B1">
      <w:pPr>
        <w:pStyle w:val="BodyText"/>
        <w:spacing w:before="1" w:line="274" w:lineRule="auto"/>
        <w:ind w:left="260" w:firstLine="0"/>
        <w:rPr>
          <w:sz w:val="16"/>
          <w:lang w:val="en-GB"/>
        </w:rPr>
      </w:pPr>
    </w:p>
    <w:p w14:paraId="40E18E35" w14:textId="77777777" w:rsidR="00AB5574" w:rsidRPr="00F11E57" w:rsidRDefault="006F79B6" w:rsidP="00641A58">
      <w:pPr>
        <w:pStyle w:val="ListParagraph"/>
        <w:numPr>
          <w:ilvl w:val="0"/>
          <w:numId w:val="24"/>
        </w:numPr>
        <w:tabs>
          <w:tab w:val="left" w:pos="472"/>
        </w:tabs>
        <w:spacing w:before="1" w:line="274" w:lineRule="auto"/>
        <w:ind w:right="647" w:firstLine="0"/>
        <w:jc w:val="both"/>
        <w:rPr>
          <w:lang w:val="en-GB"/>
        </w:rPr>
      </w:pPr>
      <w:r w:rsidRPr="00F11E57">
        <w:rPr>
          <w:lang w:val="en-GB"/>
        </w:rPr>
        <w:t>If a Reporting Financial Institution applies the due diligence procedures described in Sections V, VI and VII for a calendar year and no Financial Account is identified as a Reportable Account, the institution shall file an information return, which provides that the institution maintains no such Reportable Accounts in respect of that year, with the Regulatory Authority on or before 30</w:t>
      </w:r>
      <w:r w:rsidRPr="00F11E57">
        <w:rPr>
          <w:vertAlign w:val="superscript"/>
          <w:lang w:val="en-GB"/>
        </w:rPr>
        <w:t>th</w:t>
      </w:r>
      <w:r w:rsidRPr="00F11E57">
        <w:rPr>
          <w:lang w:val="en-GB"/>
        </w:rPr>
        <w:t xml:space="preserve"> June of the year following the calendar year to which the return</w:t>
      </w:r>
      <w:r w:rsidRPr="00F11E57">
        <w:rPr>
          <w:spacing w:val="-9"/>
          <w:lang w:val="en-GB"/>
        </w:rPr>
        <w:t xml:space="preserve"> </w:t>
      </w:r>
      <w:r w:rsidRPr="00F11E57">
        <w:rPr>
          <w:lang w:val="en-GB"/>
        </w:rPr>
        <w:t>relates.</w:t>
      </w:r>
    </w:p>
    <w:p w14:paraId="7AF79679" w14:textId="77777777" w:rsidR="00F4799B" w:rsidRPr="00F11E57" w:rsidRDefault="00F4799B" w:rsidP="00F4799B">
      <w:pPr>
        <w:pStyle w:val="ListParagraph"/>
        <w:rPr>
          <w:lang w:val="en-GB"/>
        </w:rPr>
      </w:pPr>
    </w:p>
    <w:p w14:paraId="3D6F896B" w14:textId="6E704F63" w:rsidR="00F4799B" w:rsidRPr="00F11E57" w:rsidRDefault="002E6DEB" w:rsidP="00641A58">
      <w:pPr>
        <w:pStyle w:val="ListParagraph"/>
        <w:numPr>
          <w:ilvl w:val="0"/>
          <w:numId w:val="24"/>
        </w:numPr>
        <w:tabs>
          <w:tab w:val="left" w:pos="472"/>
        </w:tabs>
        <w:spacing w:before="1" w:line="274" w:lineRule="auto"/>
        <w:ind w:right="647" w:firstLine="0"/>
        <w:jc w:val="both"/>
        <w:rPr>
          <w:lang w:val="en-GB"/>
        </w:rPr>
      </w:pPr>
      <w:r w:rsidRPr="00F11E57">
        <w:rPr>
          <w:lang w:val="en-GB"/>
        </w:rPr>
        <w:t>Each Reporting Financial Institution must retain the records</w:t>
      </w:r>
      <w:r w:rsidR="0060113F" w:rsidRPr="00F11E57">
        <w:rPr>
          <w:lang w:val="en-GB"/>
        </w:rPr>
        <w:t xml:space="preserve"> of the steps undertaken and any evidence relied upon</w:t>
      </w:r>
      <w:r w:rsidR="00E857AF" w:rsidRPr="00F11E57">
        <w:rPr>
          <w:lang w:val="en-GB"/>
        </w:rPr>
        <w:t xml:space="preserve"> </w:t>
      </w:r>
      <w:r w:rsidRPr="00F11E57">
        <w:rPr>
          <w:lang w:val="en-GB"/>
        </w:rPr>
        <w:t>related to these Regulations</w:t>
      </w:r>
      <w:r w:rsidR="00E857AF" w:rsidRPr="00F11E57">
        <w:rPr>
          <w:lang w:val="en-GB"/>
        </w:rPr>
        <w:t xml:space="preserve">, electronically or otherwise, </w:t>
      </w:r>
      <w:r w:rsidR="008D7EF6" w:rsidRPr="00F11E57">
        <w:rPr>
          <w:lang w:val="en-GB"/>
        </w:rPr>
        <w:t xml:space="preserve">for a period of no less than five (5) years </w:t>
      </w:r>
      <w:r w:rsidR="002D458D" w:rsidRPr="00F11E57">
        <w:rPr>
          <w:lang w:val="en-GB"/>
        </w:rPr>
        <w:t>after the end of the period within which the Reporting Financial Institution must report the information required to be reported under these Regulations.</w:t>
      </w:r>
      <w:r w:rsidR="008D7EF6" w:rsidRPr="00F11E57">
        <w:rPr>
          <w:lang w:val="en-GB"/>
        </w:rPr>
        <w:t xml:space="preserve"> </w:t>
      </w:r>
    </w:p>
    <w:p w14:paraId="72CDEEF2" w14:textId="6C9DB646" w:rsidR="00AB5574" w:rsidRPr="00F11E57" w:rsidRDefault="00AB5574" w:rsidP="005557B1">
      <w:pPr>
        <w:pStyle w:val="BodyText"/>
        <w:spacing w:before="1" w:line="274" w:lineRule="auto"/>
        <w:ind w:firstLine="0"/>
        <w:rPr>
          <w:b/>
          <w:sz w:val="19"/>
          <w:lang w:val="en-GB"/>
        </w:rPr>
      </w:pPr>
    </w:p>
    <w:p w14:paraId="6154AE0D" w14:textId="77777777" w:rsidR="00AB5574" w:rsidRPr="00F11E57" w:rsidRDefault="006F79B6" w:rsidP="005557B1">
      <w:pPr>
        <w:pStyle w:val="BodyText"/>
        <w:spacing w:before="1" w:line="274" w:lineRule="auto"/>
        <w:ind w:left="2143" w:right="2456" w:firstLine="0"/>
        <w:jc w:val="center"/>
        <w:rPr>
          <w:lang w:val="en-GB"/>
        </w:rPr>
      </w:pPr>
      <w:r w:rsidRPr="00F11E57">
        <w:rPr>
          <w:lang w:val="en-GB"/>
        </w:rPr>
        <w:t>SECTION II</w:t>
      </w:r>
    </w:p>
    <w:p w14:paraId="08A6178C" w14:textId="49225929" w:rsidR="00AB5574" w:rsidRPr="00F11E57" w:rsidRDefault="00AB5574" w:rsidP="005557B1">
      <w:pPr>
        <w:pStyle w:val="BodyText"/>
        <w:spacing w:before="1" w:line="274" w:lineRule="auto"/>
        <w:ind w:firstLine="0"/>
        <w:rPr>
          <w:sz w:val="19"/>
          <w:lang w:val="en-GB"/>
        </w:rPr>
      </w:pPr>
    </w:p>
    <w:p w14:paraId="66E1FBC5" w14:textId="77777777" w:rsidR="00AB5574" w:rsidRPr="00F11E57" w:rsidRDefault="006F79B6" w:rsidP="005557B1">
      <w:pPr>
        <w:pStyle w:val="BodyText"/>
        <w:spacing w:before="1" w:line="274" w:lineRule="auto"/>
        <w:ind w:left="2891" w:firstLine="0"/>
        <w:rPr>
          <w:lang w:val="en-GB"/>
        </w:rPr>
      </w:pPr>
      <w:r w:rsidRPr="00F11E57">
        <w:rPr>
          <w:lang w:val="en-GB"/>
        </w:rPr>
        <w:t>GENERAL DUE DILIGENCE REQUIREMENTS</w:t>
      </w:r>
    </w:p>
    <w:p w14:paraId="0684B153" w14:textId="77777777" w:rsidR="00AB5574" w:rsidRPr="00F11E57" w:rsidRDefault="00AB5574" w:rsidP="005557B1">
      <w:pPr>
        <w:pStyle w:val="BodyText"/>
        <w:spacing w:before="1" w:line="274" w:lineRule="auto"/>
        <w:ind w:firstLine="0"/>
        <w:rPr>
          <w:sz w:val="19"/>
          <w:lang w:val="en-GB"/>
        </w:rPr>
      </w:pPr>
    </w:p>
    <w:p w14:paraId="2B938130" w14:textId="0627A04B" w:rsidR="00AB5574" w:rsidRPr="00F11E57" w:rsidRDefault="006F79B6" w:rsidP="00641A58">
      <w:pPr>
        <w:pStyle w:val="ListParagraph"/>
        <w:numPr>
          <w:ilvl w:val="0"/>
          <w:numId w:val="22"/>
        </w:numPr>
        <w:tabs>
          <w:tab w:val="left" w:pos="506"/>
        </w:tabs>
        <w:spacing w:before="1" w:line="274" w:lineRule="auto"/>
        <w:ind w:right="1190" w:firstLine="0"/>
        <w:rPr>
          <w:lang w:val="en-GB"/>
        </w:rPr>
      </w:pPr>
      <w:r w:rsidRPr="00F11E57">
        <w:rPr>
          <w:lang w:val="en-GB"/>
        </w:rPr>
        <w:t>A Reporting Financial Institution must establish, maintain and document the due diligence procedures set out in Sections II through VII that are designed to identify Reportable Accounts maintained by the</w:t>
      </w:r>
      <w:r w:rsidRPr="00F11E57">
        <w:rPr>
          <w:spacing w:val="-3"/>
          <w:lang w:val="en-GB"/>
        </w:rPr>
        <w:t xml:space="preserve"> </w:t>
      </w:r>
      <w:r w:rsidR="00060F8A" w:rsidRPr="00F11E57">
        <w:rPr>
          <w:lang w:val="en-GB"/>
        </w:rPr>
        <w:t>Reporting Financial I</w:t>
      </w:r>
      <w:r w:rsidRPr="00F11E57">
        <w:rPr>
          <w:lang w:val="en-GB"/>
        </w:rPr>
        <w:t>nstitution.</w:t>
      </w:r>
    </w:p>
    <w:p w14:paraId="54CFE594" w14:textId="77777777" w:rsidR="00AB5574" w:rsidRPr="00F11E57" w:rsidRDefault="00AB5574" w:rsidP="005557B1">
      <w:pPr>
        <w:pStyle w:val="BodyText"/>
        <w:spacing w:before="1" w:line="274" w:lineRule="auto"/>
        <w:ind w:firstLine="0"/>
        <w:rPr>
          <w:sz w:val="16"/>
          <w:lang w:val="en-GB"/>
        </w:rPr>
      </w:pPr>
    </w:p>
    <w:p w14:paraId="46A7421F" w14:textId="77777777" w:rsidR="00AB5574" w:rsidRPr="00F11E57" w:rsidRDefault="006F79B6" w:rsidP="00641A58">
      <w:pPr>
        <w:pStyle w:val="ListParagraph"/>
        <w:numPr>
          <w:ilvl w:val="0"/>
          <w:numId w:val="22"/>
        </w:numPr>
        <w:tabs>
          <w:tab w:val="left" w:pos="496"/>
        </w:tabs>
        <w:spacing w:before="1" w:line="274" w:lineRule="auto"/>
        <w:ind w:right="781" w:firstLine="0"/>
        <w:rPr>
          <w:lang w:val="en-GB"/>
        </w:rPr>
      </w:pPr>
      <w:r w:rsidRPr="00F11E57">
        <w:rPr>
          <w:lang w:val="en-GB"/>
        </w:rPr>
        <w:t xml:space="preserve">An account is treated as a Reportable Account beginning as of the date it is identified as such pursuant to the due diligence procedures in Sections II </w:t>
      </w:r>
      <w:r w:rsidRPr="00F11E57">
        <w:rPr>
          <w:lang w:val="en-GB"/>
        </w:rPr>
        <w:lastRenderedPageBreak/>
        <w:t>through VII and, unless otherwise provided, information with respect to a Reportable Account must be reported annually in the calendar year following the year to which the information</w:t>
      </w:r>
      <w:r w:rsidRPr="00F11E57">
        <w:rPr>
          <w:spacing w:val="-11"/>
          <w:lang w:val="en-GB"/>
        </w:rPr>
        <w:t xml:space="preserve"> </w:t>
      </w:r>
      <w:r w:rsidRPr="00F11E57">
        <w:rPr>
          <w:lang w:val="en-GB"/>
        </w:rPr>
        <w:t>relates.</w:t>
      </w:r>
    </w:p>
    <w:p w14:paraId="19A0738F" w14:textId="77777777" w:rsidR="00AB5574" w:rsidRPr="00F11E57" w:rsidRDefault="00AB5574" w:rsidP="005557B1">
      <w:pPr>
        <w:pStyle w:val="BodyText"/>
        <w:spacing w:before="1" w:line="274" w:lineRule="auto"/>
        <w:ind w:firstLine="0"/>
        <w:rPr>
          <w:sz w:val="16"/>
          <w:lang w:val="en-GB"/>
        </w:rPr>
      </w:pPr>
    </w:p>
    <w:p w14:paraId="3B7DF5B0" w14:textId="77777777" w:rsidR="00AB5574" w:rsidRPr="00F11E57" w:rsidRDefault="006F79B6" w:rsidP="00641A58">
      <w:pPr>
        <w:pStyle w:val="ListParagraph"/>
        <w:numPr>
          <w:ilvl w:val="0"/>
          <w:numId w:val="22"/>
        </w:numPr>
        <w:tabs>
          <w:tab w:val="left" w:pos="487"/>
        </w:tabs>
        <w:spacing w:before="1" w:line="274" w:lineRule="auto"/>
        <w:ind w:left="486" w:hanging="226"/>
        <w:rPr>
          <w:lang w:val="en-GB"/>
        </w:rPr>
      </w:pPr>
      <w:r w:rsidRPr="00F11E57">
        <w:rPr>
          <w:lang w:val="en-GB"/>
        </w:rPr>
        <w:t>The balance or value of an account is determined as of the last day of the calendar</w:t>
      </w:r>
      <w:r w:rsidRPr="00F11E57">
        <w:rPr>
          <w:spacing w:val="-19"/>
          <w:lang w:val="en-GB"/>
        </w:rPr>
        <w:t xml:space="preserve"> </w:t>
      </w:r>
      <w:r w:rsidRPr="00F11E57">
        <w:rPr>
          <w:lang w:val="en-GB"/>
        </w:rPr>
        <w:t>year.</w:t>
      </w:r>
    </w:p>
    <w:p w14:paraId="6A473860" w14:textId="77777777" w:rsidR="00AB5574" w:rsidRPr="00F11E57" w:rsidRDefault="00AB5574" w:rsidP="005557B1">
      <w:pPr>
        <w:pStyle w:val="BodyText"/>
        <w:spacing w:before="1" w:line="274" w:lineRule="auto"/>
        <w:ind w:firstLine="0"/>
        <w:rPr>
          <w:sz w:val="19"/>
          <w:lang w:val="en-GB"/>
        </w:rPr>
      </w:pPr>
    </w:p>
    <w:p w14:paraId="494ABA1A" w14:textId="77777777" w:rsidR="00AB5574" w:rsidRPr="00F11E57" w:rsidRDefault="006F79B6" w:rsidP="00641A58">
      <w:pPr>
        <w:pStyle w:val="ListParagraph"/>
        <w:numPr>
          <w:ilvl w:val="0"/>
          <w:numId w:val="22"/>
        </w:numPr>
        <w:tabs>
          <w:tab w:val="left" w:pos="511"/>
        </w:tabs>
        <w:spacing w:before="1" w:line="274" w:lineRule="auto"/>
        <w:ind w:right="752" w:firstLine="0"/>
        <w:rPr>
          <w:lang w:val="en-GB"/>
        </w:rPr>
      </w:pPr>
      <w:r w:rsidRPr="00F11E57">
        <w:rPr>
          <w:lang w:val="en-GB"/>
        </w:rPr>
        <w:t>Where a balance or value threshold is to be determined as of the last day of a calendar year, the relevant balance or value must be determined as of the last day of the reporting period that ends with or within that calendar</w:t>
      </w:r>
      <w:r w:rsidRPr="00F11E57">
        <w:rPr>
          <w:spacing w:val="-2"/>
          <w:lang w:val="en-GB"/>
        </w:rPr>
        <w:t xml:space="preserve"> </w:t>
      </w:r>
      <w:r w:rsidRPr="00F11E57">
        <w:rPr>
          <w:lang w:val="en-GB"/>
        </w:rPr>
        <w:t>year.</w:t>
      </w:r>
    </w:p>
    <w:p w14:paraId="52D2619E" w14:textId="77777777" w:rsidR="00AB5574" w:rsidRPr="00F11E57" w:rsidRDefault="00AB5574" w:rsidP="005557B1">
      <w:pPr>
        <w:pStyle w:val="BodyText"/>
        <w:spacing w:before="1" w:line="274" w:lineRule="auto"/>
        <w:ind w:firstLine="0"/>
        <w:rPr>
          <w:sz w:val="16"/>
          <w:lang w:val="en-GB"/>
        </w:rPr>
      </w:pPr>
    </w:p>
    <w:p w14:paraId="6BF7D2FF" w14:textId="1CA19214" w:rsidR="00AB5574" w:rsidRPr="00F11E57" w:rsidRDefault="006F79B6" w:rsidP="00641A58">
      <w:pPr>
        <w:pStyle w:val="ListParagraph"/>
        <w:numPr>
          <w:ilvl w:val="0"/>
          <w:numId w:val="22"/>
        </w:numPr>
        <w:tabs>
          <w:tab w:val="left" w:pos="479"/>
        </w:tabs>
        <w:spacing w:before="1" w:line="274" w:lineRule="auto"/>
        <w:ind w:right="1296" w:firstLine="0"/>
        <w:rPr>
          <w:lang w:val="en-GB"/>
        </w:rPr>
      </w:pPr>
      <w:r w:rsidRPr="00F11E57">
        <w:rPr>
          <w:lang w:val="en-GB"/>
        </w:rPr>
        <w:t xml:space="preserve">A </w:t>
      </w:r>
      <w:r w:rsidR="00217C9A" w:rsidRPr="00F11E57">
        <w:rPr>
          <w:lang w:val="en-GB"/>
        </w:rPr>
        <w:t>Reporting Financial Institution</w:t>
      </w:r>
      <w:r w:rsidRPr="00F11E57">
        <w:rPr>
          <w:lang w:val="en-GB"/>
        </w:rPr>
        <w:t xml:space="preserve"> may use a service provider to fulfil the reporting and due diligen</w:t>
      </w:r>
      <w:r w:rsidR="00217C9A" w:rsidRPr="00F11E57">
        <w:rPr>
          <w:lang w:val="en-GB"/>
        </w:rPr>
        <w:t>ce obligations imposed on such Reporting Financial I</w:t>
      </w:r>
      <w:r w:rsidRPr="00F11E57">
        <w:rPr>
          <w:lang w:val="en-GB"/>
        </w:rPr>
        <w:t>nstitution, but these obligations shall remain the responsibility of the Reporting Financial</w:t>
      </w:r>
      <w:r w:rsidRPr="00F11E57">
        <w:rPr>
          <w:spacing w:val="-8"/>
          <w:lang w:val="en-GB"/>
        </w:rPr>
        <w:t xml:space="preserve"> </w:t>
      </w:r>
      <w:r w:rsidRPr="00F11E57">
        <w:rPr>
          <w:lang w:val="en-GB"/>
        </w:rPr>
        <w:t>Institutions.</w:t>
      </w:r>
    </w:p>
    <w:p w14:paraId="4E5DFD52" w14:textId="77777777" w:rsidR="00FA136D" w:rsidRPr="00F11E57" w:rsidRDefault="00FA136D" w:rsidP="005557B1">
      <w:pPr>
        <w:pStyle w:val="BodyText"/>
        <w:spacing w:before="1" w:line="274" w:lineRule="auto"/>
        <w:ind w:left="260" w:firstLine="0"/>
        <w:rPr>
          <w:sz w:val="16"/>
          <w:lang w:val="en-GB"/>
        </w:rPr>
      </w:pPr>
    </w:p>
    <w:p w14:paraId="1D66705B" w14:textId="77777777" w:rsidR="00AB5574" w:rsidRPr="00F11E57" w:rsidRDefault="006F79B6" w:rsidP="00641A58">
      <w:pPr>
        <w:pStyle w:val="ListParagraph"/>
        <w:numPr>
          <w:ilvl w:val="0"/>
          <w:numId w:val="22"/>
        </w:numPr>
        <w:tabs>
          <w:tab w:val="left" w:pos="472"/>
        </w:tabs>
        <w:spacing w:before="1" w:line="274" w:lineRule="auto"/>
        <w:ind w:right="1296" w:firstLine="0"/>
        <w:rPr>
          <w:lang w:val="en-GB"/>
        </w:rPr>
      </w:pPr>
      <w:r w:rsidRPr="00F11E57">
        <w:rPr>
          <w:lang w:val="en-GB"/>
        </w:rPr>
        <w:t>A Reporting Financial Institutions may</w:t>
      </w:r>
      <w:r w:rsidRPr="00F11E57">
        <w:rPr>
          <w:spacing w:val="-4"/>
          <w:lang w:val="en-GB"/>
        </w:rPr>
        <w:t xml:space="preserve"> </w:t>
      </w:r>
      <w:r w:rsidRPr="00F11E57">
        <w:rPr>
          <w:lang w:val="en-GB"/>
        </w:rPr>
        <w:t>apply</w:t>
      </w:r>
    </w:p>
    <w:p w14:paraId="2757509C" w14:textId="77777777" w:rsidR="00AB5574" w:rsidRPr="00F11E57" w:rsidRDefault="006F79B6" w:rsidP="00641A58">
      <w:pPr>
        <w:pStyle w:val="ListParagraph"/>
        <w:numPr>
          <w:ilvl w:val="1"/>
          <w:numId w:val="22"/>
        </w:numPr>
        <w:tabs>
          <w:tab w:val="left" w:pos="981"/>
        </w:tabs>
        <w:spacing w:before="1" w:line="274" w:lineRule="auto"/>
        <w:ind w:right="773"/>
        <w:jc w:val="both"/>
        <w:rPr>
          <w:lang w:val="en-GB"/>
        </w:rPr>
      </w:pPr>
      <w:r w:rsidRPr="00F11E57">
        <w:rPr>
          <w:lang w:val="en-GB"/>
        </w:rPr>
        <w:t>the due diligence procedures for New Accounts to all Pre-existing Accounts or with respect to any clearly identified group of Pre-existing Accounts, and the rules otherwise applicable to Pre-existing Accounts continue to apply;</w:t>
      </w:r>
      <w:r w:rsidRPr="00F11E57">
        <w:rPr>
          <w:spacing w:val="-6"/>
          <w:lang w:val="en-GB"/>
        </w:rPr>
        <w:t xml:space="preserve"> </w:t>
      </w:r>
      <w:r w:rsidRPr="00F11E57">
        <w:rPr>
          <w:lang w:val="en-GB"/>
        </w:rPr>
        <w:t>and</w:t>
      </w:r>
    </w:p>
    <w:p w14:paraId="5BBC353B" w14:textId="77777777" w:rsidR="00AB5574" w:rsidRPr="00F11E57" w:rsidRDefault="006F79B6" w:rsidP="00641A58">
      <w:pPr>
        <w:pStyle w:val="ListParagraph"/>
        <w:numPr>
          <w:ilvl w:val="1"/>
          <w:numId w:val="22"/>
        </w:numPr>
        <w:tabs>
          <w:tab w:val="left" w:pos="981"/>
        </w:tabs>
        <w:spacing w:before="1" w:line="274" w:lineRule="auto"/>
        <w:rPr>
          <w:lang w:val="en-GB"/>
        </w:rPr>
      </w:pPr>
      <w:r w:rsidRPr="00F11E57">
        <w:rPr>
          <w:lang w:val="en-GB"/>
        </w:rPr>
        <w:t>the due diligence procedures for High Value Accounts to Lower Value</w:t>
      </w:r>
      <w:r w:rsidRPr="00F11E57">
        <w:rPr>
          <w:spacing w:val="-8"/>
          <w:lang w:val="en-GB"/>
        </w:rPr>
        <w:t xml:space="preserve"> </w:t>
      </w:r>
      <w:r w:rsidRPr="00F11E57">
        <w:rPr>
          <w:lang w:val="en-GB"/>
        </w:rPr>
        <w:t>Accounts.</w:t>
      </w:r>
    </w:p>
    <w:p w14:paraId="5E52F9FD" w14:textId="77777777" w:rsidR="00AB5574" w:rsidRPr="00F11E57" w:rsidRDefault="00AB5574" w:rsidP="005557B1">
      <w:pPr>
        <w:pStyle w:val="BodyText"/>
        <w:spacing w:before="1" w:line="274" w:lineRule="auto"/>
        <w:ind w:firstLine="0"/>
        <w:rPr>
          <w:sz w:val="19"/>
          <w:lang w:val="en-GB"/>
        </w:rPr>
      </w:pPr>
    </w:p>
    <w:p w14:paraId="304D4BC8" w14:textId="77777777" w:rsidR="00AB5574" w:rsidRPr="00F11E57" w:rsidRDefault="006F79B6" w:rsidP="005557B1">
      <w:pPr>
        <w:pStyle w:val="BodyText"/>
        <w:spacing w:before="1" w:line="274" w:lineRule="auto"/>
        <w:ind w:left="2143" w:right="2456" w:firstLine="0"/>
        <w:jc w:val="center"/>
        <w:rPr>
          <w:lang w:val="en-GB"/>
        </w:rPr>
      </w:pPr>
      <w:r w:rsidRPr="00F11E57">
        <w:rPr>
          <w:lang w:val="en-GB"/>
        </w:rPr>
        <w:t>SECTION III</w:t>
      </w:r>
    </w:p>
    <w:p w14:paraId="72EE73C4" w14:textId="77777777" w:rsidR="00FA136D" w:rsidRPr="00F11E57" w:rsidRDefault="00FA136D" w:rsidP="005557B1">
      <w:pPr>
        <w:pStyle w:val="BodyText"/>
        <w:spacing w:before="1" w:line="274" w:lineRule="auto"/>
        <w:ind w:firstLine="0"/>
        <w:rPr>
          <w:sz w:val="19"/>
          <w:lang w:val="en-GB"/>
        </w:rPr>
      </w:pPr>
    </w:p>
    <w:p w14:paraId="4678EBDA" w14:textId="77777777" w:rsidR="00AB5574" w:rsidRPr="00F11E57" w:rsidRDefault="006F79B6" w:rsidP="005557B1">
      <w:pPr>
        <w:pStyle w:val="BodyText"/>
        <w:spacing w:before="1" w:line="274" w:lineRule="auto"/>
        <w:ind w:left="2143" w:right="2459" w:firstLine="0"/>
        <w:jc w:val="center"/>
        <w:rPr>
          <w:lang w:val="en-GB"/>
        </w:rPr>
      </w:pPr>
      <w:r w:rsidRPr="00F11E57">
        <w:rPr>
          <w:lang w:val="en-GB"/>
        </w:rPr>
        <w:t>DUE DILIGENCE FOR PRE-EXISTING INDIVIDUAL</w:t>
      </w:r>
      <w:r w:rsidRPr="00F11E57">
        <w:rPr>
          <w:spacing w:val="-17"/>
          <w:lang w:val="en-GB"/>
        </w:rPr>
        <w:t xml:space="preserve"> </w:t>
      </w:r>
      <w:r w:rsidRPr="00F11E57">
        <w:rPr>
          <w:lang w:val="en-GB"/>
        </w:rPr>
        <w:t>ACCOUNTS</w:t>
      </w:r>
    </w:p>
    <w:p w14:paraId="40DC1AF1" w14:textId="77777777" w:rsidR="00FA136D" w:rsidRPr="00F11E57" w:rsidRDefault="00FA136D" w:rsidP="005557B1">
      <w:pPr>
        <w:pStyle w:val="BodyText"/>
        <w:spacing w:before="1" w:line="274" w:lineRule="auto"/>
        <w:ind w:firstLine="0"/>
        <w:rPr>
          <w:sz w:val="19"/>
          <w:lang w:val="en-GB"/>
        </w:rPr>
      </w:pPr>
    </w:p>
    <w:p w14:paraId="2CCA932D" w14:textId="77777777" w:rsidR="00AB5574" w:rsidRPr="00F11E57" w:rsidRDefault="006F79B6" w:rsidP="005557B1">
      <w:pPr>
        <w:pStyle w:val="BodyText"/>
        <w:spacing w:before="1" w:line="274" w:lineRule="auto"/>
        <w:ind w:left="260" w:firstLine="0"/>
        <w:rPr>
          <w:lang w:val="en-GB"/>
        </w:rPr>
      </w:pPr>
      <w:r w:rsidRPr="00F11E57">
        <w:rPr>
          <w:lang w:val="en-GB"/>
        </w:rPr>
        <w:t>The following procedures apply with respect to Pre-existing Individual</w:t>
      </w:r>
      <w:r w:rsidRPr="00F11E57">
        <w:rPr>
          <w:spacing w:val="-22"/>
          <w:lang w:val="en-GB"/>
        </w:rPr>
        <w:t xml:space="preserve"> </w:t>
      </w:r>
      <w:r w:rsidRPr="00F11E57">
        <w:rPr>
          <w:lang w:val="en-GB"/>
        </w:rPr>
        <w:t>Accounts.</w:t>
      </w:r>
    </w:p>
    <w:p w14:paraId="57026964" w14:textId="77777777" w:rsidR="00FA136D" w:rsidRPr="00F11E57" w:rsidRDefault="00FA136D" w:rsidP="005557B1">
      <w:pPr>
        <w:pStyle w:val="BodyText"/>
        <w:spacing w:before="1" w:line="274" w:lineRule="auto"/>
        <w:ind w:firstLine="0"/>
        <w:rPr>
          <w:sz w:val="19"/>
          <w:lang w:val="en-GB"/>
        </w:rPr>
      </w:pPr>
    </w:p>
    <w:p w14:paraId="3BD03A3A" w14:textId="77777777" w:rsidR="00AB5574" w:rsidRPr="00F11E57" w:rsidRDefault="006F79B6" w:rsidP="00641A58">
      <w:pPr>
        <w:pStyle w:val="ListParagraph"/>
        <w:numPr>
          <w:ilvl w:val="0"/>
          <w:numId w:val="21"/>
        </w:numPr>
        <w:tabs>
          <w:tab w:val="left" w:pos="503"/>
        </w:tabs>
        <w:spacing w:before="1" w:line="274" w:lineRule="auto"/>
        <w:ind w:right="587" w:firstLine="0"/>
        <w:rPr>
          <w:lang w:val="en-GB"/>
        </w:rPr>
      </w:pPr>
      <w:r w:rsidRPr="00F11E57">
        <w:rPr>
          <w:b/>
          <w:lang w:val="en-GB"/>
        </w:rPr>
        <w:t xml:space="preserve">Accounts Not Required to be Reviewed, Identified, or Reported. </w:t>
      </w:r>
      <w:r w:rsidRPr="00F11E57">
        <w:rPr>
          <w:lang w:val="en-GB"/>
        </w:rPr>
        <w:t>A Pre-existing Individual Account that is a Cash Value Insurance Contract or an Annuity Contract is not required to be reviewed, identified or reported, provided the Reporting Financial Institution is effectively prevented by law from selling such Contracts to residents of a Reportable</w:t>
      </w:r>
      <w:r w:rsidRPr="00F11E57">
        <w:rPr>
          <w:spacing w:val="-7"/>
          <w:lang w:val="en-GB"/>
        </w:rPr>
        <w:t xml:space="preserve"> </w:t>
      </w:r>
      <w:r w:rsidRPr="00F11E57">
        <w:rPr>
          <w:lang w:val="en-GB"/>
        </w:rPr>
        <w:t>Jurisdiction.</w:t>
      </w:r>
    </w:p>
    <w:p w14:paraId="3E56A7B3" w14:textId="77777777" w:rsidR="00AB5574" w:rsidRPr="00F11E57" w:rsidRDefault="00AB5574" w:rsidP="005557B1">
      <w:pPr>
        <w:pStyle w:val="BodyText"/>
        <w:spacing w:before="1" w:line="274" w:lineRule="auto"/>
        <w:ind w:firstLine="0"/>
        <w:rPr>
          <w:sz w:val="16"/>
          <w:lang w:val="en-GB"/>
        </w:rPr>
      </w:pPr>
    </w:p>
    <w:p w14:paraId="1D6C55B2" w14:textId="77777777" w:rsidR="00AB5574" w:rsidRPr="00F11E57" w:rsidRDefault="006F79B6" w:rsidP="00641A58">
      <w:pPr>
        <w:pStyle w:val="ListParagraph"/>
        <w:numPr>
          <w:ilvl w:val="0"/>
          <w:numId w:val="21"/>
        </w:numPr>
        <w:tabs>
          <w:tab w:val="left" w:pos="494"/>
        </w:tabs>
        <w:spacing w:before="1" w:line="274" w:lineRule="auto"/>
        <w:ind w:left="493" w:hanging="233"/>
        <w:rPr>
          <w:lang w:val="en-GB"/>
        </w:rPr>
      </w:pPr>
      <w:r w:rsidRPr="00F11E57">
        <w:rPr>
          <w:b/>
          <w:lang w:val="en-GB"/>
        </w:rPr>
        <w:t xml:space="preserve">Lower Value Accounts. </w:t>
      </w:r>
      <w:r w:rsidRPr="00F11E57">
        <w:rPr>
          <w:lang w:val="en-GB"/>
        </w:rPr>
        <w:t>The following procedures apply with respect to Lower Value</w:t>
      </w:r>
      <w:r w:rsidRPr="00F11E57">
        <w:rPr>
          <w:spacing w:val="-14"/>
          <w:lang w:val="en-GB"/>
        </w:rPr>
        <w:t xml:space="preserve"> </w:t>
      </w:r>
      <w:r w:rsidRPr="00F11E57">
        <w:rPr>
          <w:lang w:val="en-GB"/>
        </w:rPr>
        <w:t>Accounts.</w:t>
      </w:r>
    </w:p>
    <w:p w14:paraId="60339556" w14:textId="77777777" w:rsidR="00FA136D" w:rsidRPr="00F11E57" w:rsidRDefault="00FA136D" w:rsidP="005557B1">
      <w:pPr>
        <w:pStyle w:val="BodyText"/>
        <w:spacing w:before="1" w:line="274" w:lineRule="auto"/>
        <w:ind w:firstLine="0"/>
        <w:rPr>
          <w:sz w:val="16"/>
          <w:lang w:val="en-GB"/>
        </w:rPr>
      </w:pPr>
    </w:p>
    <w:p w14:paraId="536C7159" w14:textId="77777777" w:rsidR="00AB5574" w:rsidRPr="00F11E57" w:rsidRDefault="006F79B6" w:rsidP="00641A58">
      <w:pPr>
        <w:pStyle w:val="ListParagraph"/>
        <w:numPr>
          <w:ilvl w:val="0"/>
          <w:numId w:val="20"/>
        </w:numPr>
        <w:tabs>
          <w:tab w:val="left" w:pos="621"/>
        </w:tabs>
        <w:spacing w:before="1" w:line="274" w:lineRule="auto"/>
        <w:ind w:right="616"/>
        <w:rPr>
          <w:lang w:val="en-GB"/>
        </w:rPr>
      </w:pPr>
      <w:r w:rsidRPr="00F11E57">
        <w:rPr>
          <w:b/>
          <w:lang w:val="en-GB"/>
        </w:rPr>
        <w:t xml:space="preserve">Residence Address. </w:t>
      </w:r>
      <w:r w:rsidRPr="00F11E57">
        <w:rPr>
          <w:lang w:val="en-GB"/>
        </w:rPr>
        <w:t xml:space="preserve">If the Reporting Financial Institution has in its records a current residence address for the individual Account Holder based on Documentary Evidence, the Reporting Financial Institution may treat the individual Account Holder as being a resident for tax purposes of the jurisdiction in </w:t>
      </w:r>
      <w:r w:rsidRPr="00F11E57">
        <w:rPr>
          <w:lang w:val="en-GB"/>
        </w:rPr>
        <w:lastRenderedPageBreak/>
        <w:t>which the address is located for purposes of determining whether such individual Account Holder is a Reportable</w:t>
      </w:r>
      <w:r w:rsidRPr="00F11E57">
        <w:rPr>
          <w:spacing w:val="-6"/>
          <w:lang w:val="en-GB"/>
        </w:rPr>
        <w:t xml:space="preserve"> </w:t>
      </w:r>
      <w:r w:rsidRPr="00F11E57">
        <w:rPr>
          <w:lang w:val="en-GB"/>
        </w:rPr>
        <w:t>Person.</w:t>
      </w:r>
    </w:p>
    <w:p w14:paraId="02454D0F" w14:textId="77777777" w:rsidR="00AB5574" w:rsidRPr="00F11E57" w:rsidRDefault="006F79B6" w:rsidP="00641A58">
      <w:pPr>
        <w:pStyle w:val="ListParagraph"/>
        <w:numPr>
          <w:ilvl w:val="0"/>
          <w:numId w:val="20"/>
        </w:numPr>
        <w:tabs>
          <w:tab w:val="left" w:pos="621"/>
        </w:tabs>
        <w:spacing w:before="1" w:line="274" w:lineRule="auto"/>
        <w:ind w:right="577"/>
        <w:rPr>
          <w:lang w:val="en-GB"/>
        </w:rPr>
      </w:pPr>
      <w:r w:rsidRPr="00F11E57">
        <w:rPr>
          <w:b/>
          <w:lang w:val="en-GB"/>
        </w:rPr>
        <w:t xml:space="preserve">Electronic Record Search. </w:t>
      </w:r>
      <w:r w:rsidRPr="00F11E57">
        <w:rPr>
          <w:lang w:val="en-GB"/>
        </w:rPr>
        <w:t>If the Reporting Financial Institution does not rely on a current residence address for the individual Account Holder based on Documentary Evidence as set forth in subparagraph B(1), the Reporting Financial Institution must review electronically searchable data maintained by the Reporting Financial Institution for any of the following indicia and apply subparagraphs B(3) to</w:t>
      </w:r>
      <w:r w:rsidRPr="00F11E57">
        <w:rPr>
          <w:spacing w:val="-4"/>
          <w:lang w:val="en-GB"/>
        </w:rPr>
        <w:t xml:space="preserve"> </w:t>
      </w:r>
      <w:r w:rsidRPr="00F11E57">
        <w:rPr>
          <w:lang w:val="en-GB"/>
        </w:rPr>
        <w:t>(6):</w:t>
      </w:r>
    </w:p>
    <w:p w14:paraId="37A9F73D" w14:textId="77777777" w:rsidR="00AB5574" w:rsidRPr="00F11E57" w:rsidRDefault="006F79B6" w:rsidP="00641A58">
      <w:pPr>
        <w:pStyle w:val="ListParagraph"/>
        <w:numPr>
          <w:ilvl w:val="1"/>
          <w:numId w:val="20"/>
        </w:numPr>
        <w:tabs>
          <w:tab w:val="left" w:pos="981"/>
        </w:tabs>
        <w:spacing w:before="1" w:line="274" w:lineRule="auto"/>
        <w:rPr>
          <w:lang w:val="en-GB"/>
        </w:rPr>
      </w:pPr>
      <w:r w:rsidRPr="00F11E57">
        <w:rPr>
          <w:lang w:val="en-GB"/>
        </w:rPr>
        <w:t>identification of the Account Holder as a resident of a Reportable</w:t>
      </w:r>
      <w:r w:rsidRPr="00F11E57">
        <w:rPr>
          <w:spacing w:val="-12"/>
          <w:lang w:val="en-GB"/>
        </w:rPr>
        <w:t xml:space="preserve"> </w:t>
      </w:r>
      <w:r w:rsidRPr="00F11E57">
        <w:rPr>
          <w:lang w:val="en-GB"/>
        </w:rPr>
        <w:t>Jurisdiction;</w:t>
      </w:r>
    </w:p>
    <w:p w14:paraId="0E7EC13F" w14:textId="77777777" w:rsidR="00AB5574" w:rsidRPr="00F11E57" w:rsidRDefault="006F79B6" w:rsidP="00641A58">
      <w:pPr>
        <w:pStyle w:val="ListParagraph"/>
        <w:numPr>
          <w:ilvl w:val="1"/>
          <w:numId w:val="20"/>
        </w:numPr>
        <w:tabs>
          <w:tab w:val="left" w:pos="981"/>
        </w:tabs>
        <w:spacing w:before="1" w:line="274" w:lineRule="auto"/>
        <w:ind w:right="1683"/>
        <w:rPr>
          <w:lang w:val="en-GB"/>
        </w:rPr>
      </w:pPr>
      <w:r w:rsidRPr="00F11E57">
        <w:rPr>
          <w:lang w:val="en-GB"/>
        </w:rPr>
        <w:t>current mailing or residence address (including a post office box) in a Reportable Jurisdiction;</w:t>
      </w:r>
    </w:p>
    <w:p w14:paraId="2FC84F73" w14:textId="77777777" w:rsidR="00AB5574" w:rsidRPr="00F11E57" w:rsidRDefault="006F79B6" w:rsidP="00641A58">
      <w:pPr>
        <w:pStyle w:val="ListParagraph"/>
        <w:numPr>
          <w:ilvl w:val="1"/>
          <w:numId w:val="20"/>
        </w:numPr>
        <w:tabs>
          <w:tab w:val="left" w:pos="981"/>
        </w:tabs>
        <w:spacing w:before="1" w:line="274" w:lineRule="auto"/>
        <w:ind w:right="877"/>
        <w:rPr>
          <w:lang w:val="en-GB"/>
        </w:rPr>
      </w:pPr>
      <w:r w:rsidRPr="00F11E57">
        <w:rPr>
          <w:lang w:val="en-GB"/>
        </w:rPr>
        <w:t>one or more telephone numbers in a Reportable Jurisdiction and no telephone number in the jurisdiction of the Reporting Financial</w:t>
      </w:r>
      <w:r w:rsidRPr="00F11E57">
        <w:rPr>
          <w:spacing w:val="-8"/>
          <w:lang w:val="en-GB"/>
        </w:rPr>
        <w:t xml:space="preserve"> </w:t>
      </w:r>
      <w:r w:rsidRPr="00F11E57">
        <w:rPr>
          <w:lang w:val="en-GB"/>
        </w:rPr>
        <w:t>Institution;</w:t>
      </w:r>
    </w:p>
    <w:p w14:paraId="329CC625" w14:textId="77777777" w:rsidR="00AB5574" w:rsidRPr="00F11E57" w:rsidRDefault="006F79B6" w:rsidP="00641A58">
      <w:pPr>
        <w:pStyle w:val="ListParagraph"/>
        <w:numPr>
          <w:ilvl w:val="1"/>
          <w:numId w:val="20"/>
        </w:numPr>
        <w:tabs>
          <w:tab w:val="left" w:pos="981"/>
        </w:tabs>
        <w:spacing w:before="1" w:line="274" w:lineRule="auto"/>
        <w:ind w:right="725"/>
        <w:rPr>
          <w:lang w:val="en-GB"/>
        </w:rPr>
      </w:pPr>
      <w:r w:rsidRPr="00F11E57">
        <w:rPr>
          <w:lang w:val="en-GB"/>
        </w:rPr>
        <w:t>standing instructions (other than with respect to a Depository Account) to transfer funds to an account maintained in a Reportable</w:t>
      </w:r>
      <w:r w:rsidRPr="00F11E57">
        <w:rPr>
          <w:spacing w:val="-5"/>
          <w:lang w:val="en-GB"/>
        </w:rPr>
        <w:t xml:space="preserve"> </w:t>
      </w:r>
      <w:r w:rsidRPr="00F11E57">
        <w:rPr>
          <w:lang w:val="en-GB"/>
        </w:rPr>
        <w:t>Jurisdiction;</w:t>
      </w:r>
    </w:p>
    <w:p w14:paraId="436A4B57" w14:textId="77777777" w:rsidR="00AB5574" w:rsidRPr="00F11E57" w:rsidRDefault="006F79B6" w:rsidP="00641A58">
      <w:pPr>
        <w:pStyle w:val="ListParagraph"/>
        <w:numPr>
          <w:ilvl w:val="1"/>
          <w:numId w:val="20"/>
        </w:numPr>
        <w:tabs>
          <w:tab w:val="left" w:pos="981"/>
        </w:tabs>
        <w:spacing w:before="1" w:line="274" w:lineRule="auto"/>
        <w:ind w:right="1037"/>
        <w:rPr>
          <w:lang w:val="en-GB"/>
        </w:rPr>
      </w:pPr>
      <w:r w:rsidRPr="00F11E57">
        <w:rPr>
          <w:lang w:val="en-GB"/>
        </w:rPr>
        <w:t>currently effective power of attorney or signatory authority granted to a person with an address in a Reportable Jurisdiction;</w:t>
      </w:r>
      <w:r w:rsidRPr="00F11E57">
        <w:rPr>
          <w:spacing w:val="-3"/>
          <w:lang w:val="en-GB"/>
        </w:rPr>
        <w:t xml:space="preserve"> </w:t>
      </w:r>
      <w:r w:rsidRPr="00F11E57">
        <w:rPr>
          <w:lang w:val="en-GB"/>
        </w:rPr>
        <w:t>or</w:t>
      </w:r>
    </w:p>
    <w:p w14:paraId="5FD91089" w14:textId="77777777" w:rsidR="00AB5574" w:rsidRPr="00F11E57" w:rsidRDefault="006F79B6" w:rsidP="00641A58">
      <w:pPr>
        <w:pStyle w:val="ListParagraph"/>
        <w:numPr>
          <w:ilvl w:val="1"/>
          <w:numId w:val="20"/>
        </w:numPr>
        <w:tabs>
          <w:tab w:val="left" w:pos="981"/>
        </w:tabs>
        <w:spacing w:before="1" w:line="274" w:lineRule="auto"/>
        <w:ind w:right="681"/>
        <w:rPr>
          <w:lang w:val="en-GB"/>
        </w:rPr>
      </w:pPr>
      <w:r w:rsidRPr="00F11E57">
        <w:rPr>
          <w:lang w:val="en-GB"/>
        </w:rPr>
        <w:t>a “hold mail” instruction or “in-care-of” address in a Reportable Jurisdiction if the Reporting Financial Institution does not have any other address on file for the Account</w:t>
      </w:r>
      <w:r w:rsidRPr="00F11E57">
        <w:rPr>
          <w:spacing w:val="-20"/>
          <w:lang w:val="en-GB"/>
        </w:rPr>
        <w:t xml:space="preserve"> </w:t>
      </w:r>
      <w:r w:rsidRPr="00F11E57">
        <w:rPr>
          <w:lang w:val="en-GB"/>
        </w:rPr>
        <w:t>Holder.</w:t>
      </w:r>
    </w:p>
    <w:p w14:paraId="255C3FFF" w14:textId="77777777" w:rsidR="00AB5574" w:rsidRPr="00F11E57" w:rsidRDefault="006F79B6" w:rsidP="00641A58">
      <w:pPr>
        <w:pStyle w:val="ListParagraph"/>
        <w:numPr>
          <w:ilvl w:val="0"/>
          <w:numId w:val="20"/>
        </w:numPr>
        <w:tabs>
          <w:tab w:val="left" w:pos="621"/>
        </w:tabs>
        <w:spacing w:before="1" w:line="274" w:lineRule="auto"/>
        <w:ind w:right="645"/>
        <w:rPr>
          <w:lang w:val="en-GB"/>
        </w:rPr>
      </w:pPr>
      <w:r w:rsidRPr="00F11E57">
        <w:rPr>
          <w:lang w:val="en-GB"/>
        </w:rPr>
        <w:t>If none of the indicia listed in subparagraph B(2) are discovered in the electronic search, then no further action is required until there is a change in circumstances that results in one or more indicia being associated with the account, or the account becomes a High Value</w:t>
      </w:r>
      <w:r w:rsidRPr="00F11E57">
        <w:rPr>
          <w:spacing w:val="-13"/>
          <w:lang w:val="en-GB"/>
        </w:rPr>
        <w:t xml:space="preserve"> </w:t>
      </w:r>
      <w:r w:rsidRPr="00F11E57">
        <w:rPr>
          <w:lang w:val="en-GB"/>
        </w:rPr>
        <w:t>Account.</w:t>
      </w:r>
    </w:p>
    <w:p w14:paraId="4B7EF6D8" w14:textId="77777777" w:rsidR="00FA136D" w:rsidRPr="00F11E57" w:rsidRDefault="006F79B6" w:rsidP="00641A58">
      <w:pPr>
        <w:pStyle w:val="ListParagraph"/>
        <w:numPr>
          <w:ilvl w:val="0"/>
          <w:numId w:val="20"/>
        </w:numPr>
        <w:tabs>
          <w:tab w:val="left" w:pos="621"/>
        </w:tabs>
        <w:spacing w:before="1" w:line="274" w:lineRule="auto"/>
        <w:ind w:right="919"/>
        <w:rPr>
          <w:lang w:val="en-GB"/>
        </w:rPr>
      </w:pPr>
      <w:r w:rsidRPr="00F11E57">
        <w:rPr>
          <w:lang w:val="en-GB"/>
        </w:rPr>
        <w:t>If any of the indicia listed in subparagraph B(2)(a) through (e) are discovered in the electronic search, or if there is a change in circumstances that results in one or more indicia being associated with the account, then the Reporting Financial Institution must treat the Account Holder as a resident for tax purposes of each Reportable Jurisdiction for which an indicium</w:t>
      </w:r>
      <w:r w:rsidRPr="00F11E57">
        <w:rPr>
          <w:spacing w:val="-18"/>
          <w:lang w:val="en-GB"/>
        </w:rPr>
        <w:t xml:space="preserve"> </w:t>
      </w:r>
      <w:r w:rsidR="00FA136D" w:rsidRPr="00F11E57">
        <w:rPr>
          <w:lang w:val="en-GB"/>
        </w:rPr>
        <w:t>is identified, unless it elects to apply subparagraph B(6) and one of the exceptions in that subparagraph applies with respect to that account.</w:t>
      </w:r>
    </w:p>
    <w:p w14:paraId="52B019E8" w14:textId="5DA0CEC6" w:rsidR="00AB5574" w:rsidRPr="00F11E57" w:rsidRDefault="006F79B6" w:rsidP="00641A58">
      <w:pPr>
        <w:pStyle w:val="ListParagraph"/>
        <w:numPr>
          <w:ilvl w:val="0"/>
          <w:numId w:val="20"/>
        </w:numPr>
        <w:tabs>
          <w:tab w:val="left" w:pos="621"/>
        </w:tabs>
        <w:spacing w:before="1" w:line="274" w:lineRule="auto"/>
        <w:ind w:right="919"/>
        <w:rPr>
          <w:lang w:val="en-GB"/>
        </w:rPr>
      </w:pPr>
      <w:r w:rsidRPr="00F11E57">
        <w:rPr>
          <w:lang w:val="en-GB"/>
        </w:rPr>
        <w:t xml:space="preserve">If a “hold mail” instruction or “in-care-of” address is discovered in the electronic search and no other address and none of the other indicia listed in subparagraph B(2)(a) through (e) are identified for the Account Holder, the Reporting Financial Institution must, in the order most appropriate to the circumstances, apply the paper record search described in subparagraph C(2), or seek to obtain from the Account Holder a self-certification or Documentary Evidence to establish the residence(s) for tax purposes of such Account Holder. If the paper search fails to establish </w:t>
      </w:r>
      <w:r w:rsidRPr="00F11E57">
        <w:rPr>
          <w:lang w:val="en-GB"/>
        </w:rPr>
        <w:lastRenderedPageBreak/>
        <w:t xml:space="preserve">an indicium and the attempt to obtain the self-certification or Documentary Evidence is not successful, the Reporting Financial Institution must report the account as an undocumented account to the </w:t>
      </w:r>
      <w:r w:rsidR="00CE6CEE" w:rsidRPr="00F11E57">
        <w:rPr>
          <w:lang w:val="en-GB"/>
        </w:rPr>
        <w:t>Regulator</w:t>
      </w:r>
      <w:r w:rsidR="007A268B" w:rsidRPr="00F11E57">
        <w:rPr>
          <w:lang w:val="en-GB"/>
        </w:rPr>
        <w:t>y Authority</w:t>
      </w:r>
      <w:r w:rsidRPr="00F11E57">
        <w:rPr>
          <w:lang w:val="en-GB"/>
        </w:rPr>
        <w:t>.</w:t>
      </w:r>
    </w:p>
    <w:p w14:paraId="48DEAE1A" w14:textId="77777777" w:rsidR="00AB5574" w:rsidRPr="00F11E57" w:rsidRDefault="006F79B6" w:rsidP="00641A58">
      <w:pPr>
        <w:pStyle w:val="ListParagraph"/>
        <w:numPr>
          <w:ilvl w:val="0"/>
          <w:numId w:val="20"/>
        </w:numPr>
        <w:tabs>
          <w:tab w:val="left" w:pos="621"/>
        </w:tabs>
        <w:spacing w:before="1" w:line="274" w:lineRule="auto"/>
        <w:ind w:right="635"/>
        <w:rPr>
          <w:lang w:val="en-GB"/>
        </w:rPr>
      </w:pPr>
      <w:r w:rsidRPr="00F11E57">
        <w:rPr>
          <w:lang w:val="en-GB"/>
        </w:rPr>
        <w:t>Notwithstanding a finding of indicia under subparagraph B(2), a Reporting Financial Institution is not required to treat an Account Holder as a resident of a Reportable Jurisdiction</w:t>
      </w:r>
      <w:r w:rsidRPr="00F11E57">
        <w:rPr>
          <w:spacing w:val="-14"/>
          <w:lang w:val="en-GB"/>
        </w:rPr>
        <w:t xml:space="preserve"> </w:t>
      </w:r>
      <w:r w:rsidRPr="00F11E57">
        <w:rPr>
          <w:lang w:val="en-GB"/>
        </w:rPr>
        <w:t>if:</w:t>
      </w:r>
    </w:p>
    <w:p w14:paraId="21C9E69A" w14:textId="77777777" w:rsidR="00AB5574" w:rsidRPr="00F11E57" w:rsidRDefault="006F79B6" w:rsidP="00641A58">
      <w:pPr>
        <w:pStyle w:val="ListParagraph"/>
        <w:numPr>
          <w:ilvl w:val="1"/>
          <w:numId w:val="20"/>
        </w:numPr>
        <w:tabs>
          <w:tab w:val="left" w:pos="981"/>
        </w:tabs>
        <w:spacing w:before="1" w:line="274" w:lineRule="auto"/>
        <w:ind w:right="675"/>
        <w:rPr>
          <w:lang w:val="en-GB"/>
        </w:rPr>
      </w:pPr>
      <w:r w:rsidRPr="00F11E57">
        <w:rPr>
          <w:lang w:val="en-GB"/>
        </w:rPr>
        <w:t>the Account Holder information contains a current mailing or residence address in the Reportable Jurisdiction, one or more telephone numbers in the Reportable Jurisdiction (and no telephone number in the jurisdiction of the Reporting Financial Institution) or standing instructions (with respect to Financial Accounts other than Depository Accounts) to transfer funds to an account maintained in a Reportable Jurisdiction, and the Reporting Financial Institution obtains, or has previously reviewed and maintains, a record</w:t>
      </w:r>
      <w:r w:rsidRPr="00F11E57">
        <w:rPr>
          <w:spacing w:val="-18"/>
          <w:lang w:val="en-GB"/>
        </w:rPr>
        <w:t xml:space="preserve"> </w:t>
      </w:r>
      <w:r w:rsidRPr="00F11E57">
        <w:rPr>
          <w:lang w:val="en-GB"/>
        </w:rPr>
        <w:t>of:</w:t>
      </w:r>
    </w:p>
    <w:p w14:paraId="59A05C8A" w14:textId="77777777" w:rsidR="00AB5574" w:rsidRPr="00F11E57" w:rsidRDefault="006F79B6" w:rsidP="00641A58">
      <w:pPr>
        <w:pStyle w:val="ListParagraph"/>
        <w:numPr>
          <w:ilvl w:val="2"/>
          <w:numId w:val="20"/>
        </w:numPr>
        <w:tabs>
          <w:tab w:val="left" w:pos="1341"/>
        </w:tabs>
        <w:spacing w:before="1" w:line="274" w:lineRule="auto"/>
        <w:ind w:right="950"/>
        <w:rPr>
          <w:lang w:val="en-GB"/>
        </w:rPr>
      </w:pPr>
      <w:r w:rsidRPr="00F11E57">
        <w:rPr>
          <w:lang w:val="en-GB"/>
        </w:rPr>
        <w:t>a self-certification from the Account Holder of the jurisdiction(s) of residence of such Account Holder that does not include such Reportable Jurisdiction;</w:t>
      </w:r>
      <w:r w:rsidRPr="00F11E57">
        <w:rPr>
          <w:spacing w:val="-7"/>
          <w:lang w:val="en-GB"/>
        </w:rPr>
        <w:t xml:space="preserve"> </w:t>
      </w:r>
      <w:r w:rsidRPr="00F11E57">
        <w:rPr>
          <w:lang w:val="en-GB"/>
        </w:rPr>
        <w:t>and</w:t>
      </w:r>
    </w:p>
    <w:p w14:paraId="780AF59E" w14:textId="77777777" w:rsidR="00AB5574" w:rsidRPr="00F11E57" w:rsidRDefault="006F79B6" w:rsidP="00641A58">
      <w:pPr>
        <w:pStyle w:val="ListParagraph"/>
        <w:numPr>
          <w:ilvl w:val="2"/>
          <w:numId w:val="20"/>
        </w:numPr>
        <w:tabs>
          <w:tab w:val="left" w:pos="1341"/>
        </w:tabs>
        <w:spacing w:before="1" w:line="274" w:lineRule="auto"/>
        <w:ind w:right="1000"/>
        <w:rPr>
          <w:lang w:val="en-GB"/>
        </w:rPr>
      </w:pPr>
      <w:r w:rsidRPr="00F11E57">
        <w:rPr>
          <w:lang w:val="en-GB"/>
        </w:rPr>
        <w:t>Documentary Evidence establishing the Account Holder's residence for tax purposes other than such Reportable</w:t>
      </w:r>
      <w:r w:rsidRPr="00F11E57">
        <w:rPr>
          <w:spacing w:val="-6"/>
          <w:lang w:val="en-GB"/>
        </w:rPr>
        <w:t xml:space="preserve"> </w:t>
      </w:r>
      <w:r w:rsidRPr="00F11E57">
        <w:rPr>
          <w:lang w:val="en-GB"/>
        </w:rPr>
        <w:t>Jurisdiction;</w:t>
      </w:r>
    </w:p>
    <w:p w14:paraId="577DA648" w14:textId="77777777" w:rsidR="00AB5574" w:rsidRPr="00F11E57" w:rsidRDefault="006F79B6" w:rsidP="00641A58">
      <w:pPr>
        <w:pStyle w:val="ListParagraph"/>
        <w:numPr>
          <w:ilvl w:val="1"/>
          <w:numId w:val="20"/>
        </w:numPr>
        <w:tabs>
          <w:tab w:val="left" w:pos="981"/>
        </w:tabs>
        <w:spacing w:before="1" w:line="274" w:lineRule="auto"/>
        <w:ind w:right="584"/>
        <w:rPr>
          <w:lang w:val="en-GB"/>
        </w:rPr>
      </w:pPr>
      <w:r w:rsidRPr="00F11E57">
        <w:rPr>
          <w:lang w:val="en-GB"/>
        </w:rPr>
        <w:t>the Account Holder information contains a currently effective power of attorney or signatory authority granted to a person with an address in the Reportable Jurisdiction, and the Reporting Financial Institution obtains, or has previously reviewed and maintains, a record of:</w:t>
      </w:r>
    </w:p>
    <w:p w14:paraId="0A6109FA" w14:textId="77777777" w:rsidR="00AB5574" w:rsidRPr="00F11E57" w:rsidRDefault="006F79B6" w:rsidP="00641A58">
      <w:pPr>
        <w:pStyle w:val="ListParagraph"/>
        <w:numPr>
          <w:ilvl w:val="2"/>
          <w:numId w:val="20"/>
        </w:numPr>
        <w:tabs>
          <w:tab w:val="left" w:pos="1341"/>
        </w:tabs>
        <w:spacing w:before="1" w:line="274" w:lineRule="auto"/>
        <w:ind w:right="950"/>
        <w:rPr>
          <w:lang w:val="en-GB"/>
        </w:rPr>
      </w:pPr>
      <w:r w:rsidRPr="00F11E57">
        <w:rPr>
          <w:lang w:val="en-GB"/>
        </w:rPr>
        <w:t>a self-certification from the Account Holder of the jurisdiction(s) of residence of such Account Holder that does not include such Reportable Jurisdiction;</w:t>
      </w:r>
      <w:r w:rsidRPr="00F11E57">
        <w:rPr>
          <w:spacing w:val="-9"/>
          <w:lang w:val="en-GB"/>
        </w:rPr>
        <w:t xml:space="preserve"> </w:t>
      </w:r>
      <w:r w:rsidRPr="00F11E57">
        <w:rPr>
          <w:lang w:val="en-GB"/>
        </w:rPr>
        <w:t>or</w:t>
      </w:r>
    </w:p>
    <w:p w14:paraId="47C86BED" w14:textId="77777777" w:rsidR="00AB5574" w:rsidRPr="00F11E57" w:rsidRDefault="006F79B6" w:rsidP="00641A58">
      <w:pPr>
        <w:pStyle w:val="ListParagraph"/>
        <w:numPr>
          <w:ilvl w:val="2"/>
          <w:numId w:val="20"/>
        </w:numPr>
        <w:tabs>
          <w:tab w:val="left" w:pos="1341"/>
        </w:tabs>
        <w:spacing w:before="1" w:line="274" w:lineRule="auto"/>
        <w:ind w:right="999"/>
        <w:rPr>
          <w:lang w:val="en-GB"/>
        </w:rPr>
      </w:pPr>
      <w:r w:rsidRPr="00F11E57">
        <w:rPr>
          <w:lang w:val="en-GB"/>
        </w:rPr>
        <w:t>Documentary Evidence establishing the Account Holder's residence for tax purposes other than such Reportable</w:t>
      </w:r>
      <w:r w:rsidRPr="00F11E57">
        <w:rPr>
          <w:spacing w:val="-6"/>
          <w:lang w:val="en-GB"/>
        </w:rPr>
        <w:t xml:space="preserve"> </w:t>
      </w:r>
      <w:r w:rsidRPr="00F11E57">
        <w:rPr>
          <w:lang w:val="en-GB"/>
        </w:rPr>
        <w:t>Jurisdiction.</w:t>
      </w:r>
    </w:p>
    <w:p w14:paraId="6EE12E19" w14:textId="77777777" w:rsidR="00AB5574" w:rsidRPr="00F11E57" w:rsidRDefault="00AB5574" w:rsidP="005557B1">
      <w:pPr>
        <w:pStyle w:val="BodyText"/>
        <w:spacing w:before="1" w:line="274" w:lineRule="auto"/>
        <w:ind w:firstLine="0"/>
        <w:rPr>
          <w:sz w:val="16"/>
          <w:lang w:val="en-GB"/>
        </w:rPr>
      </w:pPr>
    </w:p>
    <w:p w14:paraId="4FB26E77" w14:textId="77777777" w:rsidR="00AB5574" w:rsidRPr="00F11E57" w:rsidRDefault="006F79B6" w:rsidP="00641A58">
      <w:pPr>
        <w:pStyle w:val="ListParagraph"/>
        <w:numPr>
          <w:ilvl w:val="0"/>
          <w:numId w:val="21"/>
        </w:numPr>
        <w:tabs>
          <w:tab w:val="left" w:pos="486"/>
        </w:tabs>
        <w:spacing w:before="1" w:line="274" w:lineRule="auto"/>
        <w:ind w:right="1551" w:firstLine="0"/>
        <w:rPr>
          <w:lang w:val="en-GB"/>
        </w:rPr>
      </w:pPr>
      <w:r w:rsidRPr="00F11E57">
        <w:rPr>
          <w:b/>
          <w:lang w:val="en-GB"/>
        </w:rPr>
        <w:t xml:space="preserve">Enhanced Review Procedures for High Value Accounts. </w:t>
      </w:r>
      <w:r w:rsidRPr="00F11E57">
        <w:rPr>
          <w:lang w:val="en-GB"/>
        </w:rPr>
        <w:t>The following enhanced review procedures apply with respect to High Value</w:t>
      </w:r>
      <w:r w:rsidRPr="00F11E57">
        <w:rPr>
          <w:spacing w:val="-7"/>
          <w:lang w:val="en-GB"/>
        </w:rPr>
        <w:t xml:space="preserve"> </w:t>
      </w:r>
      <w:r w:rsidRPr="00F11E57">
        <w:rPr>
          <w:lang w:val="en-GB"/>
        </w:rPr>
        <w:t>Accounts.</w:t>
      </w:r>
    </w:p>
    <w:p w14:paraId="44EA3B6B" w14:textId="77777777" w:rsidR="00FA136D" w:rsidRPr="00F11E57" w:rsidRDefault="00FA136D" w:rsidP="005557B1">
      <w:pPr>
        <w:pStyle w:val="BodyText"/>
        <w:spacing w:before="1" w:line="274" w:lineRule="auto"/>
        <w:ind w:left="260" w:firstLine="0"/>
        <w:rPr>
          <w:sz w:val="16"/>
          <w:lang w:val="en-GB"/>
        </w:rPr>
      </w:pPr>
    </w:p>
    <w:p w14:paraId="0B44AEF7" w14:textId="77777777" w:rsidR="00AB5574" w:rsidRPr="00F11E57" w:rsidRDefault="006F79B6" w:rsidP="00641A58">
      <w:pPr>
        <w:pStyle w:val="ListParagraph"/>
        <w:numPr>
          <w:ilvl w:val="0"/>
          <w:numId w:val="19"/>
        </w:numPr>
        <w:tabs>
          <w:tab w:val="left" w:pos="621"/>
        </w:tabs>
        <w:spacing w:before="1" w:line="274" w:lineRule="auto"/>
        <w:ind w:left="618" w:right="1004" w:hanging="357"/>
        <w:rPr>
          <w:lang w:val="en-GB"/>
        </w:rPr>
      </w:pPr>
      <w:r w:rsidRPr="00F11E57">
        <w:rPr>
          <w:b/>
          <w:lang w:val="en-GB"/>
        </w:rPr>
        <w:t xml:space="preserve">Electronic Record Search. </w:t>
      </w:r>
      <w:r w:rsidRPr="00F11E57">
        <w:rPr>
          <w:lang w:val="en-GB"/>
        </w:rPr>
        <w:t>With respect to High Value Accounts, the Reporting Financial Institution must review electronically searchable data maintained by the Reporting Financial Institution for any of the indicia described in subparagraph</w:t>
      </w:r>
      <w:r w:rsidRPr="00F11E57">
        <w:rPr>
          <w:spacing w:val="-13"/>
          <w:lang w:val="en-GB"/>
        </w:rPr>
        <w:t xml:space="preserve"> </w:t>
      </w:r>
      <w:r w:rsidRPr="00F11E57">
        <w:rPr>
          <w:lang w:val="en-GB"/>
        </w:rPr>
        <w:t>B(2).</w:t>
      </w:r>
    </w:p>
    <w:p w14:paraId="64F8E423" w14:textId="77777777" w:rsidR="00AB5574" w:rsidRPr="00F11E57" w:rsidRDefault="006F79B6" w:rsidP="00641A58">
      <w:pPr>
        <w:pStyle w:val="ListParagraph"/>
        <w:numPr>
          <w:ilvl w:val="0"/>
          <w:numId w:val="19"/>
        </w:numPr>
        <w:tabs>
          <w:tab w:val="left" w:pos="621"/>
        </w:tabs>
        <w:spacing w:before="1" w:line="274" w:lineRule="auto"/>
        <w:ind w:right="661"/>
        <w:rPr>
          <w:lang w:val="en-GB"/>
        </w:rPr>
      </w:pPr>
      <w:r w:rsidRPr="00F11E57">
        <w:rPr>
          <w:b/>
          <w:lang w:val="en-GB"/>
        </w:rPr>
        <w:t xml:space="preserve">Paper Record Search. </w:t>
      </w:r>
      <w:r w:rsidRPr="00F11E57">
        <w:rPr>
          <w:lang w:val="en-GB"/>
        </w:rPr>
        <w:t xml:space="preserve">If the Reporting Financial Institution's electronically searchable databases include fields for, and capture all of the information described in, subparagraph C(3), then a further paper record search is not required. If the electronic databases do not capture all of this information, </w:t>
      </w:r>
      <w:r w:rsidRPr="00F11E57">
        <w:rPr>
          <w:lang w:val="en-GB"/>
        </w:rPr>
        <w:lastRenderedPageBreak/>
        <w:t>then with respect to a High Value Account, the Reporting Financial Institution must also review the current customer master file and, to the extent not contained in the current customer master file, the following documents associated with the account and obtained by the Reporting Financial Institution within the last five years for any of the indicia described in subparagraph</w:t>
      </w:r>
      <w:r w:rsidRPr="00F11E57">
        <w:rPr>
          <w:spacing w:val="-2"/>
          <w:lang w:val="en-GB"/>
        </w:rPr>
        <w:t xml:space="preserve"> </w:t>
      </w:r>
      <w:r w:rsidRPr="00F11E57">
        <w:rPr>
          <w:lang w:val="en-GB"/>
        </w:rPr>
        <w:t>B(2):</w:t>
      </w:r>
    </w:p>
    <w:p w14:paraId="48A9DFB7" w14:textId="77777777" w:rsidR="00AB5574" w:rsidRPr="00F11E57" w:rsidRDefault="006F79B6" w:rsidP="00641A58">
      <w:pPr>
        <w:pStyle w:val="ListParagraph"/>
        <w:numPr>
          <w:ilvl w:val="1"/>
          <w:numId w:val="19"/>
        </w:numPr>
        <w:tabs>
          <w:tab w:val="left" w:pos="981"/>
        </w:tabs>
        <w:spacing w:before="1" w:line="274" w:lineRule="auto"/>
        <w:rPr>
          <w:lang w:val="en-GB"/>
        </w:rPr>
      </w:pPr>
      <w:r w:rsidRPr="00F11E57">
        <w:rPr>
          <w:lang w:val="en-GB"/>
        </w:rPr>
        <w:t>the most recent Documentary Evidence collected with respect to the</w:t>
      </w:r>
      <w:r w:rsidRPr="00F11E57">
        <w:rPr>
          <w:spacing w:val="-7"/>
          <w:lang w:val="en-GB"/>
        </w:rPr>
        <w:t xml:space="preserve"> </w:t>
      </w:r>
      <w:r w:rsidRPr="00F11E57">
        <w:rPr>
          <w:lang w:val="en-GB"/>
        </w:rPr>
        <w:t>account;</w:t>
      </w:r>
    </w:p>
    <w:p w14:paraId="37F85D1A" w14:textId="77777777" w:rsidR="00AB5574" w:rsidRPr="00F11E57" w:rsidRDefault="006F79B6" w:rsidP="00641A58">
      <w:pPr>
        <w:pStyle w:val="ListParagraph"/>
        <w:numPr>
          <w:ilvl w:val="1"/>
          <w:numId w:val="19"/>
        </w:numPr>
        <w:tabs>
          <w:tab w:val="left" w:pos="981"/>
        </w:tabs>
        <w:spacing w:before="1" w:line="274" w:lineRule="auto"/>
        <w:rPr>
          <w:lang w:val="en-GB"/>
        </w:rPr>
      </w:pPr>
      <w:r w:rsidRPr="00F11E57">
        <w:rPr>
          <w:lang w:val="en-GB"/>
        </w:rPr>
        <w:t>the most recent account opening contract or</w:t>
      </w:r>
      <w:r w:rsidRPr="00F11E57">
        <w:rPr>
          <w:spacing w:val="-6"/>
          <w:lang w:val="en-GB"/>
        </w:rPr>
        <w:t xml:space="preserve"> </w:t>
      </w:r>
      <w:r w:rsidRPr="00F11E57">
        <w:rPr>
          <w:lang w:val="en-GB"/>
        </w:rPr>
        <w:t>documentation;</w:t>
      </w:r>
    </w:p>
    <w:p w14:paraId="4E187E51" w14:textId="77777777" w:rsidR="00AB5574" w:rsidRPr="00F11E57" w:rsidRDefault="006F79B6" w:rsidP="00641A58">
      <w:pPr>
        <w:pStyle w:val="ListParagraph"/>
        <w:numPr>
          <w:ilvl w:val="1"/>
          <w:numId w:val="19"/>
        </w:numPr>
        <w:tabs>
          <w:tab w:val="left" w:pos="981"/>
        </w:tabs>
        <w:spacing w:before="1" w:line="274" w:lineRule="auto"/>
        <w:ind w:right="726"/>
        <w:rPr>
          <w:lang w:val="en-GB"/>
        </w:rPr>
      </w:pPr>
      <w:r w:rsidRPr="00F11E57">
        <w:rPr>
          <w:lang w:val="en-GB"/>
        </w:rPr>
        <w:t>the most recent documentation obtained by the Reporting Financial Institution pursuant to AML/KYC Procedures or for other regulatory</w:t>
      </w:r>
      <w:r w:rsidRPr="00F11E57">
        <w:rPr>
          <w:spacing w:val="-14"/>
          <w:lang w:val="en-GB"/>
        </w:rPr>
        <w:t xml:space="preserve"> </w:t>
      </w:r>
      <w:r w:rsidRPr="00F11E57">
        <w:rPr>
          <w:lang w:val="en-GB"/>
        </w:rPr>
        <w:t>purposes;</w:t>
      </w:r>
    </w:p>
    <w:p w14:paraId="1CB2DB65" w14:textId="77777777" w:rsidR="00AB5574" w:rsidRPr="00F11E57" w:rsidRDefault="006F79B6" w:rsidP="00641A58">
      <w:pPr>
        <w:pStyle w:val="ListParagraph"/>
        <w:numPr>
          <w:ilvl w:val="1"/>
          <w:numId w:val="19"/>
        </w:numPr>
        <w:tabs>
          <w:tab w:val="left" w:pos="981"/>
        </w:tabs>
        <w:spacing w:before="1" w:line="274" w:lineRule="auto"/>
        <w:rPr>
          <w:lang w:val="en-GB"/>
        </w:rPr>
      </w:pPr>
      <w:r w:rsidRPr="00F11E57">
        <w:rPr>
          <w:lang w:val="en-GB"/>
        </w:rPr>
        <w:t>any power of attorney or signature authority forms currently in effect;</w:t>
      </w:r>
      <w:r w:rsidRPr="00F11E57">
        <w:rPr>
          <w:spacing w:val="-11"/>
          <w:lang w:val="en-GB"/>
        </w:rPr>
        <w:t xml:space="preserve"> </w:t>
      </w:r>
      <w:r w:rsidRPr="00F11E57">
        <w:rPr>
          <w:lang w:val="en-GB"/>
        </w:rPr>
        <w:t>and</w:t>
      </w:r>
    </w:p>
    <w:p w14:paraId="14976FBC" w14:textId="77777777" w:rsidR="00AB5574" w:rsidRPr="00F11E57" w:rsidRDefault="006F79B6" w:rsidP="00641A58">
      <w:pPr>
        <w:pStyle w:val="ListParagraph"/>
        <w:numPr>
          <w:ilvl w:val="1"/>
          <w:numId w:val="19"/>
        </w:numPr>
        <w:tabs>
          <w:tab w:val="left" w:pos="981"/>
        </w:tabs>
        <w:spacing w:before="1" w:line="274" w:lineRule="auto"/>
        <w:ind w:right="592"/>
        <w:rPr>
          <w:lang w:val="en-GB"/>
        </w:rPr>
      </w:pPr>
      <w:r w:rsidRPr="00F11E57">
        <w:rPr>
          <w:lang w:val="en-GB"/>
        </w:rPr>
        <w:t>any standing instructions (other than with respect to a Depository Account) to transfer funds currently in</w:t>
      </w:r>
      <w:r w:rsidRPr="00F11E57">
        <w:rPr>
          <w:spacing w:val="-3"/>
          <w:lang w:val="en-GB"/>
        </w:rPr>
        <w:t xml:space="preserve"> </w:t>
      </w:r>
      <w:r w:rsidRPr="00F11E57">
        <w:rPr>
          <w:lang w:val="en-GB"/>
        </w:rPr>
        <w:t>effect.</w:t>
      </w:r>
    </w:p>
    <w:p w14:paraId="10A64210" w14:textId="77777777" w:rsidR="00AB5574" w:rsidRPr="00F11E57" w:rsidRDefault="006F79B6" w:rsidP="00641A58">
      <w:pPr>
        <w:pStyle w:val="ListParagraph"/>
        <w:numPr>
          <w:ilvl w:val="0"/>
          <w:numId w:val="19"/>
        </w:numPr>
        <w:tabs>
          <w:tab w:val="left" w:pos="621"/>
        </w:tabs>
        <w:spacing w:before="1" w:line="274" w:lineRule="auto"/>
        <w:ind w:right="582"/>
        <w:rPr>
          <w:lang w:val="en-GB"/>
        </w:rPr>
      </w:pPr>
      <w:r w:rsidRPr="00F11E57">
        <w:rPr>
          <w:b/>
          <w:lang w:val="en-GB"/>
        </w:rPr>
        <w:t xml:space="preserve">Exception To The Extent Databases Contain Sufficient Information. </w:t>
      </w:r>
      <w:r w:rsidRPr="00F11E57">
        <w:rPr>
          <w:lang w:val="en-GB"/>
        </w:rPr>
        <w:t>A Reporting Financial Institution is not required to perform the paper record search described in subparagraph C(2) to the extent the Reporting Financial Institution's electronically searchable information includes the following:</w:t>
      </w:r>
    </w:p>
    <w:p w14:paraId="55410D38" w14:textId="77777777" w:rsidR="00AB5574" w:rsidRPr="00F11E57" w:rsidRDefault="006F79B6" w:rsidP="00641A58">
      <w:pPr>
        <w:pStyle w:val="ListParagraph"/>
        <w:numPr>
          <w:ilvl w:val="1"/>
          <w:numId w:val="19"/>
        </w:numPr>
        <w:tabs>
          <w:tab w:val="left" w:pos="981"/>
        </w:tabs>
        <w:spacing w:before="1" w:line="274" w:lineRule="auto"/>
        <w:rPr>
          <w:lang w:val="en-GB"/>
        </w:rPr>
      </w:pPr>
      <w:r w:rsidRPr="00F11E57">
        <w:rPr>
          <w:lang w:val="en-GB"/>
        </w:rPr>
        <w:t>the Account Holder's residence status;</w:t>
      </w:r>
    </w:p>
    <w:p w14:paraId="3BA4FA08" w14:textId="77777777" w:rsidR="00AB5574" w:rsidRPr="00F11E57" w:rsidRDefault="006F79B6" w:rsidP="00641A58">
      <w:pPr>
        <w:pStyle w:val="ListParagraph"/>
        <w:numPr>
          <w:ilvl w:val="1"/>
          <w:numId w:val="19"/>
        </w:numPr>
        <w:tabs>
          <w:tab w:val="left" w:pos="981"/>
        </w:tabs>
        <w:spacing w:before="1" w:line="274" w:lineRule="auto"/>
        <w:ind w:right="1252"/>
        <w:rPr>
          <w:lang w:val="en-GB"/>
        </w:rPr>
      </w:pPr>
      <w:r w:rsidRPr="00F11E57">
        <w:rPr>
          <w:lang w:val="en-GB"/>
        </w:rPr>
        <w:t>the Account Holder's residence address and mailing address currently on file with the Reporting Financial</w:t>
      </w:r>
      <w:r w:rsidRPr="00F11E57">
        <w:rPr>
          <w:spacing w:val="-3"/>
          <w:lang w:val="en-GB"/>
        </w:rPr>
        <w:t xml:space="preserve"> </w:t>
      </w:r>
      <w:r w:rsidRPr="00F11E57">
        <w:rPr>
          <w:lang w:val="en-GB"/>
        </w:rPr>
        <w:t>Institution;</w:t>
      </w:r>
    </w:p>
    <w:p w14:paraId="4318D2D5" w14:textId="77777777" w:rsidR="00AB5574" w:rsidRPr="00F11E57" w:rsidRDefault="006F79B6" w:rsidP="00641A58">
      <w:pPr>
        <w:pStyle w:val="ListParagraph"/>
        <w:numPr>
          <w:ilvl w:val="1"/>
          <w:numId w:val="19"/>
        </w:numPr>
        <w:tabs>
          <w:tab w:val="left" w:pos="981"/>
        </w:tabs>
        <w:spacing w:before="1" w:line="274" w:lineRule="auto"/>
        <w:ind w:right="1224"/>
        <w:rPr>
          <w:lang w:val="en-GB"/>
        </w:rPr>
      </w:pPr>
      <w:r w:rsidRPr="00F11E57">
        <w:rPr>
          <w:lang w:val="en-GB"/>
        </w:rPr>
        <w:t>the Account Holder's telephone number(s) currently on file, if any, with the Reporting Financial</w:t>
      </w:r>
      <w:r w:rsidRPr="00F11E57">
        <w:rPr>
          <w:spacing w:val="-2"/>
          <w:lang w:val="en-GB"/>
        </w:rPr>
        <w:t xml:space="preserve"> </w:t>
      </w:r>
      <w:r w:rsidRPr="00F11E57">
        <w:rPr>
          <w:lang w:val="en-GB"/>
        </w:rPr>
        <w:t>Institution;</w:t>
      </w:r>
    </w:p>
    <w:p w14:paraId="2A5D0B9F" w14:textId="77777777" w:rsidR="00AB5574" w:rsidRPr="00F11E57" w:rsidRDefault="006F79B6" w:rsidP="00641A58">
      <w:pPr>
        <w:pStyle w:val="ListParagraph"/>
        <w:numPr>
          <w:ilvl w:val="1"/>
          <w:numId w:val="19"/>
        </w:numPr>
        <w:tabs>
          <w:tab w:val="left" w:pos="981"/>
        </w:tabs>
        <w:spacing w:before="1" w:line="274" w:lineRule="auto"/>
        <w:ind w:right="1177"/>
        <w:rPr>
          <w:lang w:val="en-GB"/>
        </w:rPr>
      </w:pPr>
      <w:r w:rsidRPr="00F11E57">
        <w:rPr>
          <w:lang w:val="en-GB"/>
        </w:rPr>
        <w:t>in the case of Financial Accounts other than Depository Accounts, whether there are standing instructions to transfer funds in the account to another account (including an account at another branch of the Reporting Financial Institution or another Financial Institution);</w:t>
      </w:r>
    </w:p>
    <w:p w14:paraId="4E93AF39" w14:textId="77777777" w:rsidR="00AB5574" w:rsidRPr="00F11E57" w:rsidRDefault="006F79B6" w:rsidP="00641A58">
      <w:pPr>
        <w:pStyle w:val="ListParagraph"/>
        <w:numPr>
          <w:ilvl w:val="1"/>
          <w:numId w:val="19"/>
        </w:numPr>
        <w:tabs>
          <w:tab w:val="left" w:pos="981"/>
        </w:tabs>
        <w:spacing w:before="1" w:line="274" w:lineRule="auto"/>
        <w:ind w:right="922"/>
        <w:rPr>
          <w:lang w:val="en-GB"/>
        </w:rPr>
      </w:pPr>
      <w:r w:rsidRPr="00F11E57">
        <w:rPr>
          <w:lang w:val="en-GB"/>
        </w:rPr>
        <w:t>whether there is a current “in-care-of” address or “hold mail” instruction for the Account Holder;</w:t>
      </w:r>
      <w:r w:rsidRPr="00F11E57">
        <w:rPr>
          <w:spacing w:val="-2"/>
          <w:lang w:val="en-GB"/>
        </w:rPr>
        <w:t xml:space="preserve"> </w:t>
      </w:r>
      <w:r w:rsidRPr="00F11E57">
        <w:rPr>
          <w:lang w:val="en-GB"/>
        </w:rPr>
        <w:t>and</w:t>
      </w:r>
    </w:p>
    <w:p w14:paraId="12B5FD18" w14:textId="77777777" w:rsidR="00AB5574" w:rsidRPr="00F11E57" w:rsidRDefault="006F79B6" w:rsidP="00641A58">
      <w:pPr>
        <w:pStyle w:val="ListParagraph"/>
        <w:numPr>
          <w:ilvl w:val="1"/>
          <w:numId w:val="19"/>
        </w:numPr>
        <w:tabs>
          <w:tab w:val="left" w:pos="981"/>
        </w:tabs>
        <w:spacing w:before="1" w:line="274" w:lineRule="auto"/>
        <w:rPr>
          <w:lang w:val="en-GB"/>
        </w:rPr>
      </w:pPr>
      <w:r w:rsidRPr="00F11E57">
        <w:rPr>
          <w:lang w:val="en-GB"/>
        </w:rPr>
        <w:t>whether there is any power of attorney or signatory authority for the</w:t>
      </w:r>
      <w:r w:rsidRPr="00F11E57">
        <w:rPr>
          <w:spacing w:val="-17"/>
          <w:lang w:val="en-GB"/>
        </w:rPr>
        <w:t xml:space="preserve"> </w:t>
      </w:r>
      <w:r w:rsidRPr="00F11E57">
        <w:rPr>
          <w:lang w:val="en-GB"/>
        </w:rPr>
        <w:t>account.</w:t>
      </w:r>
    </w:p>
    <w:p w14:paraId="6ABB3DF5" w14:textId="77777777" w:rsidR="00AB5574" w:rsidRPr="00F11E57" w:rsidRDefault="006F79B6" w:rsidP="00641A58">
      <w:pPr>
        <w:pStyle w:val="ListParagraph"/>
        <w:numPr>
          <w:ilvl w:val="0"/>
          <w:numId w:val="19"/>
        </w:numPr>
        <w:tabs>
          <w:tab w:val="left" w:pos="621"/>
        </w:tabs>
        <w:spacing w:before="1" w:line="274" w:lineRule="auto"/>
        <w:ind w:right="744"/>
        <w:rPr>
          <w:lang w:val="en-GB"/>
        </w:rPr>
      </w:pPr>
      <w:r w:rsidRPr="00F11E57">
        <w:rPr>
          <w:b/>
          <w:lang w:val="en-GB"/>
        </w:rPr>
        <w:t xml:space="preserve">Relationship Manager Inquiry for Actual Knowledge. </w:t>
      </w:r>
      <w:r w:rsidRPr="00F11E57">
        <w:rPr>
          <w:lang w:val="en-GB"/>
        </w:rPr>
        <w:t>In addition to the electronic and paper record searches described in subparagraphs C(1) and (2), the Reporting Financial Institution must treat as a Reportable Account any High Value Account assigned to a relationship manager (including any Financial Accounts aggregated with that High Value Account) if the relationship manager has actual knowledge that the account is held by a resident for tax purposes in a Reportable</w:t>
      </w:r>
      <w:r w:rsidRPr="00F11E57">
        <w:rPr>
          <w:spacing w:val="-1"/>
          <w:lang w:val="en-GB"/>
        </w:rPr>
        <w:t xml:space="preserve"> </w:t>
      </w:r>
      <w:r w:rsidRPr="00F11E57">
        <w:rPr>
          <w:lang w:val="en-GB"/>
        </w:rPr>
        <w:t>Jurisdiction.</w:t>
      </w:r>
    </w:p>
    <w:p w14:paraId="2C44E1B5" w14:textId="77777777" w:rsidR="00AB5574" w:rsidRPr="00F11E57" w:rsidRDefault="006F79B6" w:rsidP="00641A58">
      <w:pPr>
        <w:pStyle w:val="ListParagraph"/>
        <w:numPr>
          <w:ilvl w:val="0"/>
          <w:numId w:val="19"/>
        </w:numPr>
        <w:tabs>
          <w:tab w:val="left" w:pos="621"/>
        </w:tabs>
        <w:spacing w:before="1" w:line="274" w:lineRule="auto"/>
        <w:rPr>
          <w:b/>
          <w:lang w:val="en-GB"/>
        </w:rPr>
      </w:pPr>
      <w:r w:rsidRPr="00F11E57">
        <w:rPr>
          <w:b/>
          <w:lang w:val="en-GB"/>
        </w:rPr>
        <w:t>Effect of Finding</w:t>
      </w:r>
      <w:r w:rsidRPr="00F11E57">
        <w:rPr>
          <w:b/>
          <w:spacing w:val="-4"/>
          <w:lang w:val="en-GB"/>
        </w:rPr>
        <w:t xml:space="preserve"> </w:t>
      </w:r>
      <w:r w:rsidRPr="00F11E57">
        <w:rPr>
          <w:b/>
          <w:lang w:val="en-GB"/>
        </w:rPr>
        <w:t>Indicia.</w:t>
      </w:r>
    </w:p>
    <w:p w14:paraId="6993A056" w14:textId="77777777" w:rsidR="00AB5574" w:rsidRPr="00F11E57" w:rsidRDefault="006F79B6" w:rsidP="00641A58">
      <w:pPr>
        <w:pStyle w:val="ListParagraph"/>
        <w:numPr>
          <w:ilvl w:val="1"/>
          <w:numId w:val="19"/>
        </w:numPr>
        <w:tabs>
          <w:tab w:val="left" w:pos="981"/>
        </w:tabs>
        <w:spacing w:before="1" w:line="274" w:lineRule="auto"/>
        <w:ind w:right="672"/>
        <w:rPr>
          <w:lang w:val="en-GB"/>
        </w:rPr>
      </w:pPr>
      <w:r w:rsidRPr="00F11E57">
        <w:rPr>
          <w:lang w:val="en-GB"/>
        </w:rPr>
        <w:t xml:space="preserve">If none of the indicia listed in subparagraph B(2) are discovered in the enhanced review of High Value Accounts described in paragraph C, and </w:t>
      </w:r>
      <w:r w:rsidRPr="00F11E57">
        <w:rPr>
          <w:lang w:val="en-GB"/>
        </w:rPr>
        <w:lastRenderedPageBreak/>
        <w:t>the account is not identified as held by a resident for tax purposes in a Reportable Jurisdiction in</w:t>
      </w:r>
      <w:r w:rsidR="00E472D8" w:rsidRPr="00F11E57">
        <w:rPr>
          <w:lang w:val="en-GB"/>
        </w:rPr>
        <w:t xml:space="preserve"> accordance with</w:t>
      </w:r>
      <w:r w:rsidRPr="00F11E57">
        <w:rPr>
          <w:lang w:val="en-GB"/>
        </w:rPr>
        <w:t xml:space="preserve"> subparagraph C(4), then further action is not required until there is a change in circumstances that results in one or more indicia being associated with the</w:t>
      </w:r>
      <w:r w:rsidRPr="00F11E57">
        <w:rPr>
          <w:spacing w:val="-5"/>
          <w:lang w:val="en-GB"/>
        </w:rPr>
        <w:t xml:space="preserve"> </w:t>
      </w:r>
      <w:r w:rsidRPr="00F11E57">
        <w:rPr>
          <w:lang w:val="en-GB"/>
        </w:rPr>
        <w:t>account.</w:t>
      </w:r>
    </w:p>
    <w:p w14:paraId="5F7AFD4C" w14:textId="77777777" w:rsidR="00AB5574" w:rsidRPr="00F11E57" w:rsidRDefault="006F79B6" w:rsidP="00641A58">
      <w:pPr>
        <w:pStyle w:val="ListParagraph"/>
        <w:numPr>
          <w:ilvl w:val="1"/>
          <w:numId w:val="19"/>
        </w:numPr>
        <w:tabs>
          <w:tab w:val="left" w:pos="981"/>
        </w:tabs>
        <w:spacing w:before="1" w:line="274" w:lineRule="auto"/>
        <w:ind w:right="591"/>
        <w:rPr>
          <w:lang w:val="en-GB"/>
        </w:rPr>
      </w:pPr>
      <w:r w:rsidRPr="00F11E57">
        <w:rPr>
          <w:lang w:val="en-GB"/>
        </w:rPr>
        <w:t>If any of the indicia listed in subparagraphs B(2)(a) through (e) are discovered in the enhanced review of High Value Accounts described in paragraph C, or if there is a subsequent change in circumstances that results in one or more indicia being associated with the account, then the Reporting Financial Institution must treat the Account Holder as a resident for tax purposes of each Reportable Jurisdiction for which an indicium is identified unless it elects to apply subparagraph B(6) and one of the exceptions in that subparagraph applies with respect to that</w:t>
      </w:r>
      <w:r w:rsidRPr="00F11E57">
        <w:rPr>
          <w:spacing w:val="-1"/>
          <w:lang w:val="en-GB"/>
        </w:rPr>
        <w:t xml:space="preserve"> </w:t>
      </w:r>
      <w:r w:rsidRPr="00F11E57">
        <w:rPr>
          <w:lang w:val="en-GB"/>
        </w:rPr>
        <w:t>account.</w:t>
      </w:r>
    </w:p>
    <w:p w14:paraId="0C5448B2" w14:textId="77777777" w:rsidR="00AB5574" w:rsidRPr="00F11E57" w:rsidRDefault="006F79B6" w:rsidP="00641A58">
      <w:pPr>
        <w:pStyle w:val="ListParagraph"/>
        <w:numPr>
          <w:ilvl w:val="1"/>
          <w:numId w:val="19"/>
        </w:numPr>
        <w:tabs>
          <w:tab w:val="left" w:pos="981"/>
        </w:tabs>
        <w:spacing w:before="1" w:line="274" w:lineRule="auto"/>
        <w:ind w:right="713"/>
        <w:rPr>
          <w:lang w:val="en-GB"/>
        </w:rPr>
      </w:pPr>
      <w:r w:rsidRPr="00F11E57">
        <w:rPr>
          <w:lang w:val="en-GB"/>
        </w:rPr>
        <w:t>If a “hold mail” instruction or “in-care-of” address is discovered in the enhanced review of High Value Accounts described in paragraph C, and no other address and none of the other indicia listed in subparagraphs B(2)(a) through (e) are identified for the Account Holder,</w:t>
      </w:r>
      <w:r w:rsidRPr="00F11E57">
        <w:rPr>
          <w:spacing w:val="-20"/>
          <w:lang w:val="en-GB"/>
        </w:rPr>
        <w:t xml:space="preserve"> </w:t>
      </w:r>
      <w:r w:rsidRPr="00F11E57">
        <w:rPr>
          <w:lang w:val="en-GB"/>
        </w:rPr>
        <w:t>the</w:t>
      </w:r>
    </w:p>
    <w:p w14:paraId="6EC9AC33" w14:textId="7D297863" w:rsidR="00AB5574" w:rsidRPr="00F11E57" w:rsidRDefault="006F79B6" w:rsidP="00C72956">
      <w:pPr>
        <w:pStyle w:val="BodyText"/>
        <w:spacing w:before="1" w:line="274" w:lineRule="auto"/>
        <w:ind w:left="980" w:right="657" w:firstLine="0"/>
        <w:rPr>
          <w:lang w:val="en-GB"/>
        </w:rPr>
      </w:pPr>
      <w:r w:rsidRPr="00F11E57">
        <w:rPr>
          <w:lang w:val="en-GB"/>
        </w:rPr>
        <w:t xml:space="preserve">Reporting Financial Institution must obtain from such Account Holder a self-certification or Documentary Evidence to establish the residence(s) for tax purposes of the Account Holder. If the Reporting Financial Institution cannot obtain such self-certification or Documentary Evidence, it must report the account as </w:t>
      </w:r>
      <w:r w:rsidR="00C72956" w:rsidRPr="00F11E57">
        <w:rPr>
          <w:lang w:val="en-GB"/>
        </w:rPr>
        <w:t xml:space="preserve">an undocumented account to the </w:t>
      </w:r>
      <w:r w:rsidR="00CE6CEE" w:rsidRPr="00F11E57">
        <w:rPr>
          <w:lang w:val="en-GB"/>
        </w:rPr>
        <w:t>Regulator</w:t>
      </w:r>
      <w:r w:rsidR="007A268B" w:rsidRPr="00F11E57">
        <w:rPr>
          <w:lang w:val="en-GB"/>
        </w:rPr>
        <w:t>y Authority</w:t>
      </w:r>
      <w:r w:rsidRPr="00F11E57">
        <w:rPr>
          <w:lang w:val="en-GB"/>
        </w:rPr>
        <w:t>.</w:t>
      </w:r>
    </w:p>
    <w:p w14:paraId="49E00083" w14:textId="77777777" w:rsidR="00AB5574" w:rsidRPr="00F11E57" w:rsidRDefault="006F79B6" w:rsidP="00641A58">
      <w:pPr>
        <w:pStyle w:val="ListParagraph"/>
        <w:numPr>
          <w:ilvl w:val="0"/>
          <w:numId w:val="19"/>
        </w:numPr>
        <w:tabs>
          <w:tab w:val="left" w:pos="621"/>
        </w:tabs>
        <w:spacing w:before="1" w:line="274" w:lineRule="auto"/>
        <w:ind w:right="610"/>
        <w:rPr>
          <w:lang w:val="en-GB"/>
        </w:rPr>
      </w:pPr>
      <w:r w:rsidRPr="00F11E57">
        <w:rPr>
          <w:lang w:val="en-GB"/>
        </w:rPr>
        <w:t>If a Pre-existing Individual Account is not a High Value Account as of 31 December 2016, but becomes a High Value Account as of the last day of a subsequent calendar year, the Reporting Financial Institution must complete the enhanced review procedures described in paragraph C with respect to such account within the calendar year following the year in which the account becomes a High Value Account. If based on this review such account is identified as a Reportable Account, the Reporting Financial Institution must report the required information about such account with respect to the year in which it is identified as a Reportable Account and subsequent years on an annual basis, unless the Account Holder ceases to be a Reportable Person.</w:t>
      </w:r>
    </w:p>
    <w:p w14:paraId="31806F4B" w14:textId="5C583E29" w:rsidR="00AB5574" w:rsidRPr="00F11E57" w:rsidRDefault="00217C9A" w:rsidP="00641A58">
      <w:pPr>
        <w:pStyle w:val="ListParagraph"/>
        <w:numPr>
          <w:ilvl w:val="0"/>
          <w:numId w:val="19"/>
        </w:numPr>
        <w:tabs>
          <w:tab w:val="left" w:pos="621"/>
        </w:tabs>
        <w:spacing w:before="1" w:line="274" w:lineRule="auto"/>
        <w:ind w:right="773"/>
        <w:rPr>
          <w:lang w:val="en-GB"/>
        </w:rPr>
      </w:pPr>
      <w:r w:rsidRPr="00F11E57">
        <w:rPr>
          <w:lang w:val="en-GB"/>
        </w:rPr>
        <w:t>O</w:t>
      </w:r>
      <w:r w:rsidR="006F79B6" w:rsidRPr="00F11E57">
        <w:rPr>
          <w:lang w:val="en-GB"/>
        </w:rPr>
        <w:t>nce a Reporting Financial Institution applies the enhanced review procedures described in paragraph C to a High Value Account, the Reporting Financial Institution is not required to re- apply such procedures</w:t>
      </w:r>
      <w:r w:rsidRPr="00F11E57">
        <w:rPr>
          <w:lang w:val="en-GB"/>
        </w:rPr>
        <w:t>, other than the relationship manager inquiry described in subparagraph C(4),</w:t>
      </w:r>
      <w:r w:rsidR="00976BE6" w:rsidRPr="00F11E57">
        <w:rPr>
          <w:lang w:val="en-GB"/>
        </w:rPr>
        <w:t xml:space="preserve"> </w:t>
      </w:r>
      <w:r w:rsidR="006F79B6" w:rsidRPr="00F11E57">
        <w:rPr>
          <w:lang w:val="en-GB"/>
        </w:rPr>
        <w:t>to the same High Value Account in any subsequent year unless the account is undocumented where the Reporting Financial Institution should re-apply them annually until such account ceases to be</w:t>
      </w:r>
      <w:r w:rsidR="006F79B6" w:rsidRPr="00F11E57">
        <w:rPr>
          <w:spacing w:val="-7"/>
          <w:lang w:val="en-GB"/>
        </w:rPr>
        <w:t xml:space="preserve"> </w:t>
      </w:r>
      <w:r w:rsidR="006F79B6" w:rsidRPr="00F11E57">
        <w:rPr>
          <w:lang w:val="en-GB"/>
        </w:rPr>
        <w:t>undocumented.</w:t>
      </w:r>
    </w:p>
    <w:p w14:paraId="273A5196" w14:textId="173D5A69" w:rsidR="00AB5574" w:rsidRPr="00F11E57" w:rsidRDefault="006F79B6" w:rsidP="00641A58">
      <w:pPr>
        <w:pStyle w:val="ListParagraph"/>
        <w:numPr>
          <w:ilvl w:val="0"/>
          <w:numId w:val="19"/>
        </w:numPr>
        <w:tabs>
          <w:tab w:val="left" w:pos="621"/>
        </w:tabs>
        <w:spacing w:before="1" w:line="274" w:lineRule="auto"/>
        <w:ind w:right="730"/>
        <w:rPr>
          <w:lang w:val="en-GB"/>
        </w:rPr>
      </w:pPr>
      <w:r w:rsidRPr="00F11E57">
        <w:rPr>
          <w:lang w:val="en-GB"/>
        </w:rPr>
        <w:t xml:space="preserve">If there is a change </w:t>
      </w:r>
      <w:r w:rsidR="0079144A" w:rsidRPr="00F11E57">
        <w:rPr>
          <w:lang w:val="en-GB"/>
        </w:rPr>
        <w:t xml:space="preserve">in </w:t>
      </w:r>
      <w:r w:rsidRPr="00F11E57">
        <w:rPr>
          <w:lang w:val="en-GB"/>
        </w:rPr>
        <w:t xml:space="preserve">circumstances with respect to a High Value Account </w:t>
      </w:r>
      <w:r w:rsidRPr="00F11E57">
        <w:rPr>
          <w:lang w:val="en-GB"/>
        </w:rPr>
        <w:lastRenderedPageBreak/>
        <w:t>that results in one or more indicia described in subparagraph B(2) being associated with the account, then the Reporting Financial Institution must treat the account as a Reportable Account with respect to each Reportable Jurisdiction for which an indicium is identified unless it elects to apply subparagraph B(6) and one of the exceptions in that subparagraph applies with respect to that account.</w:t>
      </w:r>
    </w:p>
    <w:p w14:paraId="0358A9F5" w14:textId="77777777" w:rsidR="00AB5574" w:rsidRPr="00F11E57" w:rsidRDefault="006F79B6" w:rsidP="00641A58">
      <w:pPr>
        <w:pStyle w:val="ListParagraph"/>
        <w:numPr>
          <w:ilvl w:val="0"/>
          <w:numId w:val="19"/>
        </w:numPr>
        <w:tabs>
          <w:tab w:val="left" w:pos="621"/>
        </w:tabs>
        <w:spacing w:before="1" w:line="274" w:lineRule="auto"/>
        <w:ind w:right="735"/>
        <w:rPr>
          <w:lang w:val="en-GB"/>
        </w:rPr>
      </w:pPr>
      <w:r w:rsidRPr="00F11E57">
        <w:rPr>
          <w:lang w:val="en-GB"/>
        </w:rPr>
        <w:t>A Reporting Financial Institution must implement procedures to ensure that a relationship manager identifies any change in circumstances of an account. For example, if a relationship manager is notified that the Account Holder has a new mailing address in a Reportable Jurisdiction, the Reporting Financial Institution is required to treat the new address as a change in circumstances and, if it elects to apply subparagraph B(6), is required to obtain the appropriate documentation from the Account</w:t>
      </w:r>
      <w:r w:rsidRPr="00F11E57">
        <w:rPr>
          <w:spacing w:val="-2"/>
          <w:lang w:val="en-GB"/>
        </w:rPr>
        <w:t xml:space="preserve"> </w:t>
      </w:r>
      <w:r w:rsidRPr="00F11E57">
        <w:rPr>
          <w:lang w:val="en-GB"/>
        </w:rPr>
        <w:t>Holder.</w:t>
      </w:r>
    </w:p>
    <w:p w14:paraId="7B7CD3E6" w14:textId="77777777" w:rsidR="00AB5574" w:rsidRPr="00F11E57" w:rsidRDefault="00AB5574" w:rsidP="005557B1">
      <w:pPr>
        <w:pStyle w:val="BodyText"/>
        <w:spacing w:before="1" w:line="274" w:lineRule="auto"/>
        <w:ind w:firstLine="0"/>
        <w:rPr>
          <w:sz w:val="16"/>
          <w:lang w:val="en-GB"/>
        </w:rPr>
      </w:pPr>
    </w:p>
    <w:p w14:paraId="7EDA0BB9" w14:textId="77777777" w:rsidR="00AB5574" w:rsidRPr="00F11E57" w:rsidRDefault="006F79B6" w:rsidP="00641A58">
      <w:pPr>
        <w:pStyle w:val="ListParagraph"/>
        <w:numPr>
          <w:ilvl w:val="0"/>
          <w:numId w:val="21"/>
        </w:numPr>
        <w:tabs>
          <w:tab w:val="left" w:pos="503"/>
        </w:tabs>
        <w:spacing w:before="1" w:line="274" w:lineRule="auto"/>
        <w:ind w:right="782" w:firstLine="0"/>
        <w:rPr>
          <w:lang w:val="en-GB"/>
        </w:rPr>
      </w:pPr>
      <w:r w:rsidRPr="00F11E57">
        <w:rPr>
          <w:lang w:val="en-GB"/>
        </w:rPr>
        <w:t>Review of Pre-existing High Value Individual Accounts must be completed by 31 December 2017 and review of Pre-existing Lower Value Individual Accounts must be completed by 31 December 2018.</w:t>
      </w:r>
    </w:p>
    <w:p w14:paraId="4A79E28B" w14:textId="77777777" w:rsidR="00FA136D" w:rsidRPr="00F11E57" w:rsidRDefault="00FA136D" w:rsidP="005557B1">
      <w:pPr>
        <w:pStyle w:val="BodyText"/>
        <w:spacing w:before="1" w:line="274" w:lineRule="auto"/>
        <w:ind w:left="260" w:firstLine="0"/>
        <w:rPr>
          <w:sz w:val="16"/>
          <w:lang w:val="en-GB"/>
        </w:rPr>
      </w:pPr>
    </w:p>
    <w:p w14:paraId="0E00AB13" w14:textId="77777777" w:rsidR="00AB5574" w:rsidRPr="00F11E57" w:rsidRDefault="006F79B6" w:rsidP="00641A58">
      <w:pPr>
        <w:pStyle w:val="ListParagraph"/>
        <w:numPr>
          <w:ilvl w:val="0"/>
          <w:numId w:val="21"/>
        </w:numPr>
        <w:tabs>
          <w:tab w:val="left" w:pos="503"/>
        </w:tabs>
        <w:spacing w:before="1" w:line="274" w:lineRule="auto"/>
        <w:ind w:right="782" w:firstLine="0"/>
        <w:rPr>
          <w:lang w:val="en-GB"/>
        </w:rPr>
      </w:pPr>
      <w:r w:rsidRPr="00F11E57">
        <w:rPr>
          <w:lang w:val="en-GB"/>
        </w:rPr>
        <w:t>Any Pre-existing Individual Account that has been identified as a Reportable Account under this Section must be treated as a Reportable Account in all subsequent years, unless the Account Holder ceases to be a Reportable</w:t>
      </w:r>
      <w:r w:rsidRPr="00F11E57">
        <w:rPr>
          <w:spacing w:val="-10"/>
          <w:lang w:val="en-GB"/>
        </w:rPr>
        <w:t xml:space="preserve"> </w:t>
      </w:r>
      <w:r w:rsidRPr="00F11E57">
        <w:rPr>
          <w:lang w:val="en-GB"/>
        </w:rPr>
        <w:t>Person.</w:t>
      </w:r>
    </w:p>
    <w:p w14:paraId="70F85359" w14:textId="77777777" w:rsidR="00FA136D" w:rsidRPr="00F11E57" w:rsidRDefault="00FA136D" w:rsidP="005557B1">
      <w:pPr>
        <w:tabs>
          <w:tab w:val="left" w:pos="503"/>
        </w:tabs>
        <w:spacing w:before="1" w:line="274" w:lineRule="auto"/>
        <w:ind w:left="260" w:right="782"/>
        <w:rPr>
          <w:lang w:val="en-GB"/>
        </w:rPr>
      </w:pPr>
    </w:p>
    <w:p w14:paraId="52EF1BA6" w14:textId="77777777" w:rsidR="00AB5574" w:rsidRPr="00F11E57" w:rsidRDefault="006F79B6" w:rsidP="005557B1">
      <w:pPr>
        <w:pStyle w:val="BodyText"/>
        <w:spacing w:before="1" w:line="274" w:lineRule="auto"/>
        <w:ind w:left="2143" w:right="2456" w:firstLine="0"/>
        <w:jc w:val="center"/>
        <w:rPr>
          <w:lang w:val="en-GB"/>
        </w:rPr>
      </w:pPr>
      <w:r w:rsidRPr="00F11E57">
        <w:rPr>
          <w:lang w:val="en-GB"/>
        </w:rPr>
        <w:t>SECTION IV</w:t>
      </w:r>
    </w:p>
    <w:p w14:paraId="3A048373" w14:textId="77777777" w:rsidR="00AB5574" w:rsidRPr="00F11E57" w:rsidRDefault="00AB5574" w:rsidP="005557B1">
      <w:pPr>
        <w:pStyle w:val="BodyText"/>
        <w:spacing w:before="1" w:line="274" w:lineRule="auto"/>
        <w:ind w:firstLine="0"/>
        <w:rPr>
          <w:sz w:val="19"/>
          <w:lang w:val="en-GB"/>
        </w:rPr>
      </w:pPr>
    </w:p>
    <w:p w14:paraId="5A33ABF1" w14:textId="77777777" w:rsidR="00AB5574" w:rsidRPr="00F11E57" w:rsidRDefault="006F79B6" w:rsidP="005557B1">
      <w:pPr>
        <w:pStyle w:val="BodyText"/>
        <w:spacing w:before="1" w:line="274" w:lineRule="auto"/>
        <w:ind w:left="2143" w:right="2459" w:firstLine="0"/>
        <w:jc w:val="center"/>
        <w:rPr>
          <w:lang w:val="en-GB"/>
        </w:rPr>
      </w:pPr>
      <w:r w:rsidRPr="00F11E57">
        <w:rPr>
          <w:lang w:val="en-GB"/>
        </w:rPr>
        <w:t>DUE DILIGENCE FOR NEW INDIVIDUAL ACCOUNTS</w:t>
      </w:r>
    </w:p>
    <w:p w14:paraId="0B581C3D" w14:textId="77777777" w:rsidR="00AB5574" w:rsidRPr="00F11E57" w:rsidRDefault="00AB5574" w:rsidP="005557B1">
      <w:pPr>
        <w:pStyle w:val="BodyText"/>
        <w:spacing w:before="1" w:line="274" w:lineRule="auto"/>
        <w:ind w:firstLine="0"/>
        <w:rPr>
          <w:sz w:val="19"/>
          <w:lang w:val="en-GB"/>
        </w:rPr>
      </w:pPr>
    </w:p>
    <w:p w14:paraId="4E4001E9" w14:textId="77777777" w:rsidR="00AB5574" w:rsidRPr="00F11E57" w:rsidRDefault="006F79B6" w:rsidP="005557B1">
      <w:pPr>
        <w:pStyle w:val="BodyText"/>
        <w:spacing w:before="1" w:line="274" w:lineRule="auto"/>
        <w:ind w:left="260" w:firstLine="0"/>
        <w:rPr>
          <w:lang w:val="en-GB"/>
        </w:rPr>
      </w:pPr>
      <w:r w:rsidRPr="00F11E57">
        <w:rPr>
          <w:lang w:val="en-GB"/>
        </w:rPr>
        <w:t>The following procedures apply with respect to New Individual Accounts.</w:t>
      </w:r>
    </w:p>
    <w:p w14:paraId="4C3BB087" w14:textId="77777777" w:rsidR="00FA136D" w:rsidRPr="00F11E57" w:rsidRDefault="00FA136D" w:rsidP="005557B1">
      <w:pPr>
        <w:pStyle w:val="BodyText"/>
        <w:spacing w:before="1" w:line="274" w:lineRule="auto"/>
        <w:ind w:firstLine="0"/>
        <w:rPr>
          <w:sz w:val="16"/>
          <w:lang w:val="en-GB"/>
        </w:rPr>
      </w:pPr>
    </w:p>
    <w:p w14:paraId="06103B5F" w14:textId="77777777" w:rsidR="00AB5574" w:rsidRPr="00F11E57" w:rsidRDefault="006F79B6" w:rsidP="00641A58">
      <w:pPr>
        <w:pStyle w:val="ListParagraph"/>
        <w:numPr>
          <w:ilvl w:val="0"/>
          <w:numId w:val="18"/>
        </w:numPr>
        <w:tabs>
          <w:tab w:val="left" w:pos="493"/>
        </w:tabs>
        <w:spacing w:before="1" w:line="274" w:lineRule="auto"/>
        <w:ind w:right="685" w:firstLine="0"/>
        <w:rPr>
          <w:lang w:val="en-GB"/>
        </w:rPr>
      </w:pPr>
      <w:r w:rsidRPr="00F11E57">
        <w:rPr>
          <w:lang w:val="en-GB"/>
        </w:rPr>
        <w:t>With respect to New Individual Accounts, upon account opening, the Reporting Financial Institution must obtain a self-certification, which may be part of the account opening documentation, that allows the Reporting Financial Institution to determine the Account Holder's residence(s) for tax purposes and confirm the reasonableness of such self-certification based on the information obtained by the Reporting Financial Institution in connection with the opening of the account, including any documentation collected pursuant to AML/KYC</w:t>
      </w:r>
      <w:r w:rsidRPr="00F11E57">
        <w:rPr>
          <w:spacing w:val="-10"/>
          <w:lang w:val="en-GB"/>
        </w:rPr>
        <w:t xml:space="preserve"> </w:t>
      </w:r>
      <w:r w:rsidRPr="00F11E57">
        <w:rPr>
          <w:lang w:val="en-GB"/>
        </w:rPr>
        <w:t>Procedures.</w:t>
      </w:r>
    </w:p>
    <w:p w14:paraId="37C2711F" w14:textId="77777777" w:rsidR="00AB5574" w:rsidRPr="00F11E57" w:rsidRDefault="00AB5574" w:rsidP="005557B1">
      <w:pPr>
        <w:pStyle w:val="BodyText"/>
        <w:spacing w:before="1" w:line="274" w:lineRule="auto"/>
        <w:ind w:firstLine="0"/>
        <w:rPr>
          <w:sz w:val="16"/>
          <w:lang w:val="en-GB"/>
        </w:rPr>
      </w:pPr>
    </w:p>
    <w:p w14:paraId="397A8249" w14:textId="77777777" w:rsidR="00AB5574" w:rsidRPr="00F11E57" w:rsidRDefault="006F79B6" w:rsidP="00641A58">
      <w:pPr>
        <w:pStyle w:val="ListParagraph"/>
        <w:numPr>
          <w:ilvl w:val="0"/>
          <w:numId w:val="18"/>
        </w:numPr>
        <w:tabs>
          <w:tab w:val="left" w:pos="487"/>
        </w:tabs>
        <w:spacing w:before="1" w:line="274" w:lineRule="auto"/>
        <w:ind w:right="862" w:firstLine="0"/>
        <w:rPr>
          <w:lang w:val="en-GB"/>
        </w:rPr>
      </w:pPr>
      <w:r w:rsidRPr="00F11E57">
        <w:rPr>
          <w:lang w:val="en-GB"/>
        </w:rPr>
        <w:t>If the self-certification establishes that the Account Holder is resident for tax purposes in a Reportable Jurisdiction, the Reporting Financial Institution must treat the account as a Reportable Account and the self-certification must also include the Account Holder's TIN with respect to such Reportable Jurisdiction (subject to paragraph D of Section I) and date of</w:t>
      </w:r>
      <w:r w:rsidRPr="00F11E57">
        <w:rPr>
          <w:spacing w:val="-12"/>
          <w:lang w:val="en-GB"/>
        </w:rPr>
        <w:t xml:space="preserve"> </w:t>
      </w:r>
      <w:r w:rsidRPr="00F11E57">
        <w:rPr>
          <w:lang w:val="en-GB"/>
        </w:rPr>
        <w:t>birth.</w:t>
      </w:r>
    </w:p>
    <w:p w14:paraId="2BE5040F" w14:textId="77777777" w:rsidR="00AB5574" w:rsidRPr="00F11E57" w:rsidRDefault="00AB5574" w:rsidP="005557B1">
      <w:pPr>
        <w:pStyle w:val="BodyText"/>
        <w:spacing w:before="1" w:line="274" w:lineRule="auto"/>
        <w:ind w:firstLine="0"/>
        <w:rPr>
          <w:sz w:val="16"/>
          <w:lang w:val="en-GB"/>
        </w:rPr>
      </w:pPr>
    </w:p>
    <w:p w14:paraId="0BD98F9D" w14:textId="2ED4E3A8" w:rsidR="00AB5574" w:rsidRPr="00F11E57" w:rsidRDefault="006F79B6" w:rsidP="00641A58">
      <w:pPr>
        <w:pStyle w:val="ListParagraph"/>
        <w:numPr>
          <w:ilvl w:val="0"/>
          <w:numId w:val="18"/>
        </w:numPr>
        <w:tabs>
          <w:tab w:val="left" w:pos="484"/>
        </w:tabs>
        <w:spacing w:before="1" w:line="274" w:lineRule="auto"/>
        <w:ind w:right="681" w:firstLine="0"/>
        <w:rPr>
          <w:lang w:val="en-GB"/>
        </w:rPr>
      </w:pPr>
      <w:r w:rsidRPr="00F11E57">
        <w:rPr>
          <w:lang w:val="en-GB"/>
        </w:rPr>
        <w:t xml:space="preserve">If there is a change </w:t>
      </w:r>
      <w:r w:rsidR="00D03C6C" w:rsidRPr="00F11E57">
        <w:rPr>
          <w:lang w:val="en-GB"/>
        </w:rPr>
        <w:t>in</w:t>
      </w:r>
      <w:r w:rsidRPr="00F11E57">
        <w:rPr>
          <w:lang w:val="en-GB"/>
        </w:rPr>
        <w:t xml:space="preserve"> circumstances with respect to a New Individual Account that causes the Reporting Financial Institution to know, or have reason to know, that the original self-certification is incorrect or unreliable, the Reporting Financial Institution cannot rely on the original self- certification and must obtain a valid self-certification that establishes the residence(s) for tax purposes of the Account</w:t>
      </w:r>
      <w:r w:rsidRPr="00F11E57">
        <w:rPr>
          <w:spacing w:val="-2"/>
          <w:lang w:val="en-GB"/>
        </w:rPr>
        <w:t xml:space="preserve"> </w:t>
      </w:r>
      <w:r w:rsidRPr="00F11E57">
        <w:rPr>
          <w:lang w:val="en-GB"/>
        </w:rPr>
        <w:t>Holder.</w:t>
      </w:r>
    </w:p>
    <w:p w14:paraId="1965B5E2" w14:textId="77777777" w:rsidR="00FA136D" w:rsidRPr="00F11E57" w:rsidRDefault="00FA136D" w:rsidP="005557B1">
      <w:pPr>
        <w:pStyle w:val="BodyText"/>
        <w:spacing w:before="1" w:line="274" w:lineRule="auto"/>
        <w:ind w:left="260" w:firstLine="0"/>
        <w:rPr>
          <w:sz w:val="19"/>
          <w:lang w:val="en-GB"/>
        </w:rPr>
      </w:pPr>
    </w:p>
    <w:p w14:paraId="77B0F095" w14:textId="77777777" w:rsidR="00AB5574" w:rsidRPr="00F11E57" w:rsidRDefault="006F79B6" w:rsidP="005557B1">
      <w:pPr>
        <w:pStyle w:val="BodyText"/>
        <w:spacing w:before="1" w:line="274" w:lineRule="auto"/>
        <w:ind w:left="2143" w:right="2459" w:firstLine="0"/>
        <w:jc w:val="center"/>
        <w:rPr>
          <w:lang w:val="en-GB"/>
        </w:rPr>
      </w:pPr>
      <w:r w:rsidRPr="00F11E57">
        <w:rPr>
          <w:lang w:val="en-GB"/>
        </w:rPr>
        <w:t>SECTION V</w:t>
      </w:r>
    </w:p>
    <w:p w14:paraId="5A0A8454" w14:textId="77777777" w:rsidR="00AB5574" w:rsidRPr="00F11E57" w:rsidRDefault="00AB5574" w:rsidP="005557B1">
      <w:pPr>
        <w:pStyle w:val="BodyText"/>
        <w:spacing w:before="1" w:line="274" w:lineRule="auto"/>
        <w:ind w:firstLine="0"/>
        <w:rPr>
          <w:sz w:val="19"/>
          <w:lang w:val="en-GB"/>
        </w:rPr>
      </w:pPr>
    </w:p>
    <w:p w14:paraId="608382A0" w14:textId="77777777" w:rsidR="00AB5574" w:rsidRPr="00F11E57" w:rsidRDefault="006F79B6" w:rsidP="005557B1">
      <w:pPr>
        <w:pStyle w:val="BodyText"/>
        <w:spacing w:before="1" w:line="274" w:lineRule="auto"/>
        <w:ind w:left="2370" w:firstLine="0"/>
        <w:rPr>
          <w:lang w:val="en-GB"/>
        </w:rPr>
      </w:pPr>
      <w:r w:rsidRPr="00F11E57">
        <w:rPr>
          <w:lang w:val="en-GB"/>
        </w:rPr>
        <w:t>DUE DILIGENCE FOR PRE-EXISTING ENTITY ACCOUNTS</w:t>
      </w:r>
    </w:p>
    <w:p w14:paraId="782F3010" w14:textId="77777777" w:rsidR="005557B1" w:rsidRPr="00F11E57" w:rsidRDefault="005557B1" w:rsidP="005557B1">
      <w:pPr>
        <w:pStyle w:val="BodyText"/>
        <w:spacing w:before="1" w:line="274" w:lineRule="auto"/>
        <w:ind w:firstLine="0"/>
        <w:rPr>
          <w:sz w:val="19"/>
          <w:lang w:val="en-GB"/>
        </w:rPr>
      </w:pPr>
    </w:p>
    <w:p w14:paraId="4C19A327" w14:textId="77777777" w:rsidR="00AB5574" w:rsidRPr="00F11E57" w:rsidRDefault="006F79B6" w:rsidP="005557B1">
      <w:pPr>
        <w:pStyle w:val="BodyText"/>
        <w:spacing w:before="1" w:line="274" w:lineRule="auto"/>
        <w:ind w:left="260" w:firstLine="0"/>
        <w:rPr>
          <w:lang w:val="en-GB"/>
        </w:rPr>
      </w:pPr>
      <w:r w:rsidRPr="00F11E57">
        <w:rPr>
          <w:lang w:val="en-GB"/>
        </w:rPr>
        <w:t>The following procedures apply with respect to Pre-existing Entity Accounts.</w:t>
      </w:r>
    </w:p>
    <w:p w14:paraId="0E94DB4C" w14:textId="77777777" w:rsidR="00AB5574" w:rsidRPr="00F11E57" w:rsidRDefault="00AB5574" w:rsidP="005557B1">
      <w:pPr>
        <w:pStyle w:val="BodyText"/>
        <w:spacing w:before="1" w:line="274" w:lineRule="auto"/>
        <w:ind w:firstLine="0"/>
        <w:rPr>
          <w:sz w:val="19"/>
          <w:lang w:val="en-GB"/>
        </w:rPr>
      </w:pPr>
    </w:p>
    <w:p w14:paraId="7FADBB10" w14:textId="77777777" w:rsidR="00AB5574" w:rsidRPr="00F11E57" w:rsidRDefault="006F79B6" w:rsidP="00641A58">
      <w:pPr>
        <w:pStyle w:val="ListParagraph"/>
        <w:numPr>
          <w:ilvl w:val="0"/>
          <w:numId w:val="17"/>
        </w:numPr>
        <w:tabs>
          <w:tab w:val="left" w:pos="494"/>
        </w:tabs>
        <w:spacing w:before="1" w:line="274" w:lineRule="auto"/>
        <w:ind w:right="645" w:firstLine="0"/>
        <w:rPr>
          <w:lang w:val="en-GB"/>
        </w:rPr>
      </w:pPr>
      <w:r w:rsidRPr="00F11E57">
        <w:rPr>
          <w:b/>
          <w:lang w:val="en-GB"/>
        </w:rPr>
        <w:t xml:space="preserve">Entity Accounts Not Required to Be Reviewed, Identified or Reported. </w:t>
      </w:r>
      <w:r w:rsidRPr="00F11E57">
        <w:rPr>
          <w:lang w:val="en-GB"/>
        </w:rPr>
        <w:t>Unless the Reporting Financial Institution elects otherwise, either with respect to all Pre-existing Entity Accounts or, separately, with respect to any clearly identified group of such accounts, a Pre-existing Entity Account with an aggregate account balance or value that does not exceed USD 250 000 as of 31 December 2016 is not required to be reviewed, identified, or reported as a Reportable Account until the aggregate account balance or value exceeds that amount as of the last day of any subsequent calendar year.</w:t>
      </w:r>
    </w:p>
    <w:p w14:paraId="46EE4774" w14:textId="77777777" w:rsidR="00AB5574" w:rsidRPr="00F11E57" w:rsidRDefault="00AB5574" w:rsidP="005557B1">
      <w:pPr>
        <w:pStyle w:val="BodyText"/>
        <w:spacing w:before="1" w:line="274" w:lineRule="auto"/>
        <w:ind w:firstLine="0"/>
        <w:rPr>
          <w:sz w:val="16"/>
          <w:lang w:val="en-GB"/>
        </w:rPr>
      </w:pPr>
    </w:p>
    <w:p w14:paraId="3E3803AF" w14:textId="0C3047E0" w:rsidR="00AB5574" w:rsidRPr="00F11E57" w:rsidRDefault="006F79B6" w:rsidP="00641A58">
      <w:pPr>
        <w:pStyle w:val="ListParagraph"/>
        <w:numPr>
          <w:ilvl w:val="0"/>
          <w:numId w:val="17"/>
        </w:numPr>
        <w:tabs>
          <w:tab w:val="left" w:pos="487"/>
        </w:tabs>
        <w:spacing w:before="1" w:line="274" w:lineRule="auto"/>
        <w:ind w:right="788" w:firstLine="0"/>
        <w:rPr>
          <w:lang w:val="en-GB"/>
        </w:rPr>
      </w:pPr>
      <w:r w:rsidRPr="00F11E57">
        <w:rPr>
          <w:b/>
          <w:lang w:val="en-GB"/>
        </w:rPr>
        <w:t xml:space="preserve">Entity Accounts Subject to Review. </w:t>
      </w:r>
      <w:r w:rsidRPr="00F11E57">
        <w:rPr>
          <w:lang w:val="en-GB"/>
        </w:rPr>
        <w:t>A Pre-existing Entity Account that has an aggregate account balance or value that exceeds USD 250 000 as of 31 December 2016, and a Pre-existing Entity Account that does not exceed USD 250 000 as of 31 December 2016 but the aggregate account balance or value of which exceeds USD 250 000 as of the last day of any subsequent calendar year, must be reviewed in accordance with the procedures set forth in paragraph</w:t>
      </w:r>
      <w:r w:rsidRPr="00F11E57">
        <w:rPr>
          <w:spacing w:val="-9"/>
          <w:lang w:val="en-GB"/>
        </w:rPr>
        <w:t xml:space="preserve"> </w:t>
      </w:r>
      <w:r w:rsidR="006D073F" w:rsidRPr="00F11E57">
        <w:rPr>
          <w:lang w:val="en-GB"/>
        </w:rPr>
        <w:t>C</w:t>
      </w:r>
      <w:r w:rsidRPr="00F11E57">
        <w:rPr>
          <w:lang w:val="en-GB"/>
        </w:rPr>
        <w:t>.</w:t>
      </w:r>
    </w:p>
    <w:p w14:paraId="05F2228D" w14:textId="77777777" w:rsidR="00AB5574" w:rsidRPr="00F11E57" w:rsidRDefault="00AB5574" w:rsidP="005557B1">
      <w:pPr>
        <w:pStyle w:val="BodyText"/>
        <w:spacing w:before="1" w:line="274" w:lineRule="auto"/>
        <w:ind w:firstLine="0"/>
        <w:rPr>
          <w:sz w:val="16"/>
          <w:lang w:val="en-GB"/>
        </w:rPr>
      </w:pPr>
    </w:p>
    <w:p w14:paraId="352423C3" w14:textId="77777777" w:rsidR="00AB5574" w:rsidRPr="00F11E57" w:rsidRDefault="006F79B6" w:rsidP="00641A58">
      <w:pPr>
        <w:pStyle w:val="ListParagraph"/>
        <w:numPr>
          <w:ilvl w:val="0"/>
          <w:numId w:val="17"/>
        </w:numPr>
        <w:tabs>
          <w:tab w:val="left" w:pos="484"/>
        </w:tabs>
        <w:spacing w:before="1" w:line="274" w:lineRule="auto"/>
        <w:ind w:right="587" w:firstLine="0"/>
        <w:rPr>
          <w:lang w:val="en-GB"/>
        </w:rPr>
      </w:pPr>
      <w:r w:rsidRPr="00F11E57">
        <w:rPr>
          <w:b/>
          <w:lang w:val="en-GB"/>
        </w:rPr>
        <w:t>Review</w:t>
      </w:r>
      <w:r w:rsidRPr="00F11E57">
        <w:rPr>
          <w:b/>
          <w:spacing w:val="-3"/>
          <w:lang w:val="en-GB"/>
        </w:rPr>
        <w:t xml:space="preserve"> </w:t>
      </w:r>
      <w:r w:rsidRPr="00F11E57">
        <w:rPr>
          <w:b/>
          <w:lang w:val="en-GB"/>
        </w:rPr>
        <w:t>Procedures</w:t>
      </w:r>
      <w:r w:rsidRPr="00F11E57">
        <w:rPr>
          <w:b/>
          <w:spacing w:val="-2"/>
          <w:lang w:val="en-GB"/>
        </w:rPr>
        <w:t xml:space="preserve"> </w:t>
      </w:r>
      <w:r w:rsidRPr="00F11E57">
        <w:rPr>
          <w:b/>
          <w:lang w:val="en-GB"/>
        </w:rPr>
        <w:t>for</w:t>
      </w:r>
      <w:r w:rsidRPr="00F11E57">
        <w:rPr>
          <w:b/>
          <w:spacing w:val="-4"/>
          <w:lang w:val="en-GB"/>
        </w:rPr>
        <w:t xml:space="preserve"> </w:t>
      </w:r>
      <w:r w:rsidRPr="00F11E57">
        <w:rPr>
          <w:b/>
          <w:lang w:val="en-GB"/>
        </w:rPr>
        <w:t>Identifying</w:t>
      </w:r>
      <w:r w:rsidRPr="00F11E57">
        <w:rPr>
          <w:b/>
          <w:spacing w:val="-2"/>
          <w:lang w:val="en-GB"/>
        </w:rPr>
        <w:t xml:space="preserve"> </w:t>
      </w:r>
      <w:r w:rsidRPr="00F11E57">
        <w:rPr>
          <w:b/>
          <w:lang w:val="en-GB"/>
        </w:rPr>
        <w:t>Entity</w:t>
      </w:r>
      <w:r w:rsidRPr="00F11E57">
        <w:rPr>
          <w:b/>
          <w:spacing w:val="-4"/>
          <w:lang w:val="en-GB"/>
        </w:rPr>
        <w:t xml:space="preserve"> </w:t>
      </w:r>
      <w:r w:rsidRPr="00F11E57">
        <w:rPr>
          <w:b/>
          <w:lang w:val="en-GB"/>
        </w:rPr>
        <w:t>Accounts</w:t>
      </w:r>
      <w:r w:rsidRPr="00F11E57">
        <w:rPr>
          <w:b/>
          <w:spacing w:val="-6"/>
          <w:lang w:val="en-GB"/>
        </w:rPr>
        <w:t xml:space="preserve"> </w:t>
      </w:r>
      <w:r w:rsidRPr="00F11E57">
        <w:rPr>
          <w:b/>
          <w:lang w:val="en-GB"/>
        </w:rPr>
        <w:t>With</w:t>
      </w:r>
      <w:r w:rsidRPr="00F11E57">
        <w:rPr>
          <w:b/>
          <w:spacing w:val="-3"/>
          <w:lang w:val="en-GB"/>
        </w:rPr>
        <w:t xml:space="preserve"> </w:t>
      </w:r>
      <w:r w:rsidRPr="00F11E57">
        <w:rPr>
          <w:b/>
          <w:lang w:val="en-GB"/>
        </w:rPr>
        <w:t>Respect</w:t>
      </w:r>
      <w:r w:rsidRPr="00F11E57">
        <w:rPr>
          <w:b/>
          <w:spacing w:val="-2"/>
          <w:lang w:val="en-GB"/>
        </w:rPr>
        <w:t xml:space="preserve"> </w:t>
      </w:r>
      <w:r w:rsidRPr="00F11E57">
        <w:rPr>
          <w:b/>
          <w:lang w:val="en-GB"/>
        </w:rPr>
        <w:t>to</w:t>
      </w:r>
      <w:r w:rsidRPr="00F11E57">
        <w:rPr>
          <w:b/>
          <w:spacing w:val="-2"/>
          <w:lang w:val="en-GB"/>
        </w:rPr>
        <w:t xml:space="preserve"> </w:t>
      </w:r>
      <w:r w:rsidRPr="00F11E57">
        <w:rPr>
          <w:b/>
          <w:lang w:val="en-GB"/>
        </w:rPr>
        <w:t>Which</w:t>
      </w:r>
      <w:r w:rsidRPr="00F11E57">
        <w:rPr>
          <w:b/>
          <w:spacing w:val="-5"/>
          <w:lang w:val="en-GB"/>
        </w:rPr>
        <w:t xml:space="preserve"> </w:t>
      </w:r>
      <w:r w:rsidRPr="00F11E57">
        <w:rPr>
          <w:b/>
          <w:lang w:val="en-GB"/>
        </w:rPr>
        <w:t>Reporting</w:t>
      </w:r>
      <w:r w:rsidRPr="00F11E57">
        <w:rPr>
          <w:b/>
          <w:spacing w:val="-4"/>
          <w:lang w:val="en-GB"/>
        </w:rPr>
        <w:t xml:space="preserve"> </w:t>
      </w:r>
      <w:r w:rsidRPr="00F11E57">
        <w:rPr>
          <w:b/>
          <w:lang w:val="en-GB"/>
        </w:rPr>
        <w:t>Is</w:t>
      </w:r>
      <w:r w:rsidRPr="00F11E57">
        <w:rPr>
          <w:b/>
          <w:spacing w:val="-4"/>
          <w:lang w:val="en-GB"/>
        </w:rPr>
        <w:t xml:space="preserve"> </w:t>
      </w:r>
      <w:r w:rsidRPr="00F11E57">
        <w:rPr>
          <w:b/>
          <w:lang w:val="en-GB"/>
        </w:rPr>
        <w:t xml:space="preserve">Required. </w:t>
      </w:r>
      <w:r w:rsidRPr="00F11E57">
        <w:rPr>
          <w:lang w:val="en-GB"/>
        </w:rPr>
        <w:t>For Pre-existing Entity Accounts described in paragraph B, a Reporting Financial Institution must apply the following review</w:t>
      </w:r>
      <w:r w:rsidRPr="00F11E57">
        <w:rPr>
          <w:spacing w:val="-4"/>
          <w:lang w:val="en-GB"/>
        </w:rPr>
        <w:t xml:space="preserve"> </w:t>
      </w:r>
      <w:r w:rsidRPr="00F11E57">
        <w:rPr>
          <w:lang w:val="en-GB"/>
        </w:rPr>
        <w:t>procedures:</w:t>
      </w:r>
    </w:p>
    <w:p w14:paraId="49F133CB" w14:textId="77777777" w:rsidR="00FA136D" w:rsidRPr="00F11E57" w:rsidRDefault="00FA136D" w:rsidP="005557B1">
      <w:pPr>
        <w:pStyle w:val="BodyText"/>
        <w:spacing w:before="1" w:line="274" w:lineRule="auto"/>
        <w:ind w:left="260" w:firstLine="0"/>
        <w:rPr>
          <w:sz w:val="16"/>
          <w:lang w:val="en-GB"/>
        </w:rPr>
      </w:pPr>
    </w:p>
    <w:p w14:paraId="467CAD95" w14:textId="77777777" w:rsidR="00AB5574" w:rsidRPr="00F11E57" w:rsidRDefault="006F79B6" w:rsidP="00641A58">
      <w:pPr>
        <w:pStyle w:val="ListParagraph"/>
        <w:numPr>
          <w:ilvl w:val="0"/>
          <w:numId w:val="16"/>
        </w:numPr>
        <w:tabs>
          <w:tab w:val="left" w:pos="621"/>
        </w:tabs>
        <w:spacing w:before="1" w:line="274" w:lineRule="auto"/>
        <w:ind w:left="618" w:hanging="357"/>
        <w:rPr>
          <w:b/>
          <w:lang w:val="en-GB"/>
        </w:rPr>
      </w:pPr>
      <w:r w:rsidRPr="00F11E57">
        <w:rPr>
          <w:b/>
          <w:lang w:val="en-GB"/>
        </w:rPr>
        <w:t>Determine the Residence of the</w:t>
      </w:r>
      <w:r w:rsidRPr="00F11E57">
        <w:rPr>
          <w:b/>
          <w:spacing w:val="-7"/>
          <w:lang w:val="en-GB"/>
        </w:rPr>
        <w:t xml:space="preserve"> </w:t>
      </w:r>
      <w:r w:rsidRPr="00F11E57">
        <w:rPr>
          <w:b/>
          <w:lang w:val="en-GB"/>
        </w:rPr>
        <w:t>Entity.</w:t>
      </w:r>
    </w:p>
    <w:p w14:paraId="381BFA61" w14:textId="77777777" w:rsidR="00AB5574" w:rsidRPr="00F11E57" w:rsidRDefault="006F79B6" w:rsidP="00641A58">
      <w:pPr>
        <w:pStyle w:val="ListParagraph"/>
        <w:numPr>
          <w:ilvl w:val="1"/>
          <w:numId w:val="16"/>
        </w:numPr>
        <w:tabs>
          <w:tab w:val="left" w:pos="981"/>
        </w:tabs>
        <w:spacing w:before="1" w:line="274" w:lineRule="auto"/>
        <w:ind w:right="695"/>
        <w:rPr>
          <w:lang w:val="en-GB"/>
        </w:rPr>
      </w:pPr>
      <w:r w:rsidRPr="00F11E57">
        <w:rPr>
          <w:lang w:val="en-GB"/>
        </w:rPr>
        <w:t>Review information maintained for regulatory or customer relationship purposes (including information collected pursuant to AML/KYC Procedures) to determine the Account Holder’s residence. For this purpose, information indicating that the Account Holder’s residence includes a place of incorporation or organisation, or an address in a Reportable</w:t>
      </w:r>
      <w:r w:rsidRPr="00F11E57">
        <w:rPr>
          <w:spacing w:val="-16"/>
          <w:lang w:val="en-GB"/>
        </w:rPr>
        <w:t xml:space="preserve"> </w:t>
      </w:r>
      <w:r w:rsidRPr="00F11E57">
        <w:rPr>
          <w:lang w:val="en-GB"/>
        </w:rPr>
        <w:t>Jurisdiction.</w:t>
      </w:r>
    </w:p>
    <w:p w14:paraId="41CD9FF6" w14:textId="77777777" w:rsidR="00AB5574" w:rsidRPr="00F11E57" w:rsidRDefault="006F79B6" w:rsidP="00641A58">
      <w:pPr>
        <w:pStyle w:val="ListParagraph"/>
        <w:numPr>
          <w:ilvl w:val="1"/>
          <w:numId w:val="16"/>
        </w:numPr>
        <w:tabs>
          <w:tab w:val="left" w:pos="981"/>
        </w:tabs>
        <w:spacing w:before="1" w:line="274" w:lineRule="auto"/>
        <w:ind w:right="683"/>
        <w:rPr>
          <w:lang w:val="en-GB"/>
        </w:rPr>
      </w:pPr>
      <w:r w:rsidRPr="00F11E57">
        <w:rPr>
          <w:lang w:val="en-GB"/>
        </w:rPr>
        <w:t xml:space="preserve">If the information indicates that the Account Holder is a Reportable </w:t>
      </w:r>
      <w:r w:rsidRPr="00F11E57">
        <w:rPr>
          <w:lang w:val="en-GB"/>
        </w:rPr>
        <w:lastRenderedPageBreak/>
        <w:t>Person, the Reporting Financial Institution must treat the account as a Reportable Account unless it obtains a self- certification from the Account Holder, or reasonably determines based on information in its possession or that is publicly available, that the Account Holder is not a Reportable</w:t>
      </w:r>
      <w:r w:rsidRPr="00F11E57">
        <w:rPr>
          <w:spacing w:val="-24"/>
          <w:lang w:val="en-GB"/>
        </w:rPr>
        <w:t xml:space="preserve"> </w:t>
      </w:r>
      <w:r w:rsidRPr="00F11E57">
        <w:rPr>
          <w:lang w:val="en-GB"/>
        </w:rPr>
        <w:t>Person.</w:t>
      </w:r>
    </w:p>
    <w:p w14:paraId="087E7C62" w14:textId="77777777" w:rsidR="00AB5574" w:rsidRPr="00F11E57" w:rsidRDefault="006F79B6" w:rsidP="00641A58">
      <w:pPr>
        <w:pStyle w:val="ListParagraph"/>
        <w:numPr>
          <w:ilvl w:val="0"/>
          <w:numId w:val="16"/>
        </w:numPr>
        <w:tabs>
          <w:tab w:val="left" w:pos="621"/>
        </w:tabs>
        <w:spacing w:before="1" w:line="274" w:lineRule="auto"/>
        <w:ind w:right="650"/>
        <w:rPr>
          <w:lang w:val="en-GB"/>
        </w:rPr>
      </w:pPr>
      <w:r w:rsidRPr="00F11E57">
        <w:rPr>
          <w:b/>
          <w:lang w:val="en-GB"/>
        </w:rPr>
        <w:t xml:space="preserve">Determine the Residence of the Controlling Persons of a Passive NFE. </w:t>
      </w:r>
      <w:r w:rsidRPr="00F11E57">
        <w:rPr>
          <w:lang w:val="en-GB"/>
        </w:rPr>
        <w:t>With respect to an Account Holder of a Pre-existing Entity Account (including an Entity that is a Reportable Person), the Reporting Financial Institution must determine whether the Account Holder is a Passive NFE with one or more Controlling Persons and determine the residence of such Controlling Persons. If any of the Controlling Persons of a Passive NFE is a Reportable Person, then the account must be treated as a Reportable Account. In making these determinations the Reporting Financial Institution must follow the guidance in subparagraphs C(2)(a) through (c) in the order most appropriate under the</w:t>
      </w:r>
      <w:r w:rsidRPr="00F11E57">
        <w:rPr>
          <w:spacing w:val="-5"/>
          <w:lang w:val="en-GB"/>
        </w:rPr>
        <w:t xml:space="preserve"> </w:t>
      </w:r>
      <w:r w:rsidRPr="00F11E57">
        <w:rPr>
          <w:lang w:val="en-GB"/>
        </w:rPr>
        <w:t>circumstances.</w:t>
      </w:r>
    </w:p>
    <w:p w14:paraId="7776712C" w14:textId="77777777" w:rsidR="00AB5574" w:rsidRPr="00F11E57" w:rsidRDefault="006F79B6" w:rsidP="00641A58">
      <w:pPr>
        <w:pStyle w:val="ListParagraph"/>
        <w:numPr>
          <w:ilvl w:val="1"/>
          <w:numId w:val="16"/>
        </w:numPr>
        <w:tabs>
          <w:tab w:val="left" w:pos="981"/>
        </w:tabs>
        <w:spacing w:before="1" w:line="274" w:lineRule="auto"/>
        <w:ind w:right="619"/>
        <w:rPr>
          <w:lang w:val="en-GB"/>
        </w:rPr>
      </w:pPr>
      <w:r w:rsidRPr="00F11E57">
        <w:rPr>
          <w:b/>
          <w:lang w:val="en-GB"/>
        </w:rPr>
        <w:t xml:space="preserve">Determining whether the Account Holder is a Passive NFE. </w:t>
      </w:r>
      <w:r w:rsidRPr="00F11E57">
        <w:rPr>
          <w:lang w:val="en-GB"/>
        </w:rPr>
        <w:t>For purposes of determining whether the Account Holder is a Passive NFE, the Reporting Financial Institution must obtain a self-certification from the Account Holder to establish its status, unless it has information in its possession or that is publicly available, based on which it can reasonably determine that the Account Holder is an Active NFE or a Financial Institution other than an Investment Entity described in subparagraph A(6)(b) of Section VIII that is not a Participating Jurisdiction Financial</w:t>
      </w:r>
      <w:r w:rsidRPr="00F11E57">
        <w:rPr>
          <w:spacing w:val="-2"/>
          <w:lang w:val="en-GB"/>
        </w:rPr>
        <w:t xml:space="preserve"> </w:t>
      </w:r>
      <w:r w:rsidRPr="00F11E57">
        <w:rPr>
          <w:lang w:val="en-GB"/>
        </w:rPr>
        <w:t>Institution.</w:t>
      </w:r>
    </w:p>
    <w:p w14:paraId="15E0A052" w14:textId="77777777" w:rsidR="00AB5574" w:rsidRPr="00F11E57" w:rsidRDefault="006F79B6" w:rsidP="00641A58">
      <w:pPr>
        <w:pStyle w:val="ListParagraph"/>
        <w:numPr>
          <w:ilvl w:val="1"/>
          <w:numId w:val="16"/>
        </w:numPr>
        <w:tabs>
          <w:tab w:val="left" w:pos="981"/>
        </w:tabs>
        <w:spacing w:before="1" w:line="274" w:lineRule="auto"/>
        <w:ind w:right="576"/>
        <w:rPr>
          <w:lang w:val="en-GB"/>
        </w:rPr>
      </w:pPr>
      <w:r w:rsidRPr="00F11E57">
        <w:rPr>
          <w:b/>
          <w:lang w:val="en-GB"/>
        </w:rPr>
        <w:t xml:space="preserve">Determining the Controlling Persons of an Account Holder. </w:t>
      </w:r>
      <w:r w:rsidRPr="00F11E57">
        <w:rPr>
          <w:lang w:val="en-GB"/>
        </w:rPr>
        <w:t>For the purposes of determining the Controlling Persons of an Account Holder, a Reporting Financial Institution may rely on information collected and maintained pursuant to AML/KYC</w:t>
      </w:r>
      <w:r w:rsidRPr="00F11E57">
        <w:rPr>
          <w:spacing w:val="-15"/>
          <w:lang w:val="en-GB"/>
        </w:rPr>
        <w:t xml:space="preserve"> </w:t>
      </w:r>
      <w:r w:rsidRPr="00F11E57">
        <w:rPr>
          <w:lang w:val="en-GB"/>
        </w:rPr>
        <w:t>Procedures.</w:t>
      </w:r>
    </w:p>
    <w:p w14:paraId="65731CAA" w14:textId="77777777" w:rsidR="00AB5574" w:rsidRPr="00F11E57" w:rsidRDefault="006F79B6" w:rsidP="00641A58">
      <w:pPr>
        <w:pStyle w:val="ListParagraph"/>
        <w:numPr>
          <w:ilvl w:val="1"/>
          <w:numId w:val="16"/>
        </w:numPr>
        <w:tabs>
          <w:tab w:val="left" w:pos="981"/>
        </w:tabs>
        <w:spacing w:before="1" w:line="274" w:lineRule="auto"/>
        <w:ind w:right="944"/>
        <w:jc w:val="both"/>
        <w:rPr>
          <w:lang w:val="en-GB"/>
        </w:rPr>
      </w:pPr>
      <w:r w:rsidRPr="00F11E57">
        <w:rPr>
          <w:b/>
          <w:lang w:val="en-GB"/>
        </w:rPr>
        <w:t xml:space="preserve">Determining the residence of a Controlling Person of a Passive NFE. </w:t>
      </w:r>
      <w:r w:rsidRPr="00F11E57">
        <w:rPr>
          <w:lang w:val="en-GB"/>
        </w:rPr>
        <w:t>For the purposes of determining the residence of a Controlling Person of a Passive NFE, a Reporting Financial Institution may rely</w:t>
      </w:r>
      <w:r w:rsidRPr="00F11E57">
        <w:rPr>
          <w:spacing w:val="-6"/>
          <w:lang w:val="en-GB"/>
        </w:rPr>
        <w:t xml:space="preserve"> </w:t>
      </w:r>
      <w:r w:rsidRPr="00F11E57">
        <w:rPr>
          <w:lang w:val="en-GB"/>
        </w:rPr>
        <w:t>on:</w:t>
      </w:r>
    </w:p>
    <w:p w14:paraId="0C1F8C6A" w14:textId="77777777" w:rsidR="00AB5574" w:rsidRPr="00F11E57" w:rsidRDefault="006F79B6" w:rsidP="00641A58">
      <w:pPr>
        <w:pStyle w:val="ListParagraph"/>
        <w:numPr>
          <w:ilvl w:val="2"/>
          <w:numId w:val="16"/>
        </w:numPr>
        <w:tabs>
          <w:tab w:val="left" w:pos="1341"/>
        </w:tabs>
        <w:spacing w:before="1" w:line="274" w:lineRule="auto"/>
        <w:ind w:right="604"/>
        <w:rPr>
          <w:lang w:val="en-GB"/>
        </w:rPr>
      </w:pPr>
      <w:r w:rsidRPr="00F11E57">
        <w:rPr>
          <w:lang w:val="en-GB"/>
        </w:rPr>
        <w:t>information collected and maintained pursuant to AML/KYC Procedures in the case of a Pre-existing Entity Account held by one or more NFEs with an aggregate account balance or value that does not exceed USD 1 000 000;</w:t>
      </w:r>
      <w:r w:rsidRPr="00F11E57">
        <w:rPr>
          <w:spacing w:val="-10"/>
          <w:lang w:val="en-GB"/>
        </w:rPr>
        <w:t xml:space="preserve"> </w:t>
      </w:r>
      <w:r w:rsidRPr="00F11E57">
        <w:rPr>
          <w:lang w:val="en-GB"/>
        </w:rPr>
        <w:t>or</w:t>
      </w:r>
    </w:p>
    <w:p w14:paraId="315A6C24" w14:textId="417E87EF" w:rsidR="00AB5574" w:rsidRPr="00F11E57" w:rsidRDefault="006F79B6" w:rsidP="00B65456">
      <w:pPr>
        <w:pStyle w:val="ListParagraph"/>
        <w:numPr>
          <w:ilvl w:val="2"/>
          <w:numId w:val="16"/>
        </w:numPr>
        <w:tabs>
          <w:tab w:val="left" w:pos="1341"/>
        </w:tabs>
        <w:spacing w:before="1" w:line="274" w:lineRule="auto"/>
        <w:ind w:right="1187"/>
        <w:rPr>
          <w:lang w:val="en-GB"/>
        </w:rPr>
      </w:pPr>
      <w:r w:rsidRPr="00F11E57">
        <w:rPr>
          <w:lang w:val="en-GB"/>
        </w:rPr>
        <w:t xml:space="preserve">a self-certification from the Account Holder or such Controlling Person of the jurisdiction(s) in which the </w:t>
      </w:r>
      <w:r w:rsidR="00976BE6" w:rsidRPr="00F11E57">
        <w:rPr>
          <w:lang w:val="en-GB"/>
        </w:rPr>
        <w:t>C</w:t>
      </w:r>
      <w:r w:rsidRPr="00F11E57">
        <w:rPr>
          <w:lang w:val="en-GB"/>
        </w:rPr>
        <w:t xml:space="preserve">ontrolling </w:t>
      </w:r>
      <w:r w:rsidR="00976BE6" w:rsidRPr="00F11E57">
        <w:rPr>
          <w:lang w:val="en-GB"/>
        </w:rPr>
        <w:t>P</w:t>
      </w:r>
      <w:r w:rsidRPr="00F11E57">
        <w:rPr>
          <w:lang w:val="en-GB"/>
        </w:rPr>
        <w:t>erson is resident for tax purposes. If a self-certification is not provided, the Reporting Financial Institution will establish such residence(s) by applying the procedures described in paragraph C of Section</w:t>
      </w:r>
      <w:r w:rsidRPr="00F11E57">
        <w:rPr>
          <w:spacing w:val="-13"/>
          <w:lang w:val="en-GB"/>
        </w:rPr>
        <w:t xml:space="preserve"> </w:t>
      </w:r>
      <w:r w:rsidRPr="00F11E57">
        <w:rPr>
          <w:lang w:val="en-GB"/>
        </w:rPr>
        <w:t>III.</w:t>
      </w:r>
    </w:p>
    <w:p w14:paraId="74F36C4E" w14:textId="77777777" w:rsidR="00AB5574" w:rsidRPr="00F11E57" w:rsidRDefault="00AB5574" w:rsidP="005557B1">
      <w:pPr>
        <w:pStyle w:val="BodyText"/>
        <w:spacing w:before="1" w:line="274" w:lineRule="auto"/>
        <w:ind w:firstLine="0"/>
        <w:rPr>
          <w:sz w:val="16"/>
          <w:lang w:val="en-GB"/>
        </w:rPr>
      </w:pPr>
    </w:p>
    <w:p w14:paraId="398ED443" w14:textId="77777777" w:rsidR="00AB5574" w:rsidRPr="00F11E57" w:rsidRDefault="006F79B6" w:rsidP="00641A58">
      <w:pPr>
        <w:pStyle w:val="ListParagraph"/>
        <w:numPr>
          <w:ilvl w:val="0"/>
          <w:numId w:val="17"/>
        </w:numPr>
        <w:tabs>
          <w:tab w:val="left" w:pos="503"/>
        </w:tabs>
        <w:spacing w:before="1" w:line="274" w:lineRule="auto"/>
        <w:ind w:left="502" w:hanging="242"/>
        <w:rPr>
          <w:lang w:val="en-GB"/>
        </w:rPr>
      </w:pPr>
      <w:r w:rsidRPr="00F11E57">
        <w:rPr>
          <w:b/>
          <w:lang w:val="en-GB"/>
        </w:rPr>
        <w:t>Timing of Review and Additional Procedures Applicable to Pre-existing Entity</w:t>
      </w:r>
      <w:r w:rsidRPr="00F11E57">
        <w:rPr>
          <w:b/>
          <w:spacing w:val="-19"/>
          <w:lang w:val="en-GB"/>
        </w:rPr>
        <w:t xml:space="preserve"> </w:t>
      </w:r>
      <w:r w:rsidRPr="00F11E57">
        <w:rPr>
          <w:b/>
          <w:lang w:val="en-GB"/>
        </w:rPr>
        <w:t>Accounts</w:t>
      </w:r>
      <w:r w:rsidRPr="00F11E57">
        <w:rPr>
          <w:lang w:val="en-GB"/>
        </w:rPr>
        <w:t>.</w:t>
      </w:r>
    </w:p>
    <w:p w14:paraId="3771E5C8" w14:textId="77777777" w:rsidR="00AB5574" w:rsidRPr="00F11E57" w:rsidRDefault="00AB5574" w:rsidP="005557B1">
      <w:pPr>
        <w:pStyle w:val="BodyText"/>
        <w:spacing w:before="1" w:line="274" w:lineRule="auto"/>
        <w:ind w:firstLine="0"/>
        <w:rPr>
          <w:sz w:val="19"/>
          <w:lang w:val="en-GB"/>
        </w:rPr>
      </w:pPr>
    </w:p>
    <w:p w14:paraId="27890286" w14:textId="77777777" w:rsidR="00AB5574" w:rsidRPr="00F11E57" w:rsidRDefault="006F79B6" w:rsidP="00641A58">
      <w:pPr>
        <w:pStyle w:val="ListParagraph"/>
        <w:numPr>
          <w:ilvl w:val="0"/>
          <w:numId w:val="15"/>
        </w:numPr>
        <w:tabs>
          <w:tab w:val="left" w:pos="479"/>
        </w:tabs>
        <w:spacing w:before="1" w:line="274" w:lineRule="auto"/>
        <w:ind w:right="840" w:firstLine="0"/>
        <w:rPr>
          <w:lang w:val="en-GB"/>
        </w:rPr>
      </w:pPr>
      <w:r w:rsidRPr="00F11E57">
        <w:rPr>
          <w:lang w:val="en-GB"/>
        </w:rPr>
        <w:t>Review of Pre-existing Entity Accounts with an aggregate account balance or value that exceeds USD 250 000 as of 31 December 2016, must be completed by 31 December</w:t>
      </w:r>
      <w:r w:rsidRPr="00F11E57">
        <w:rPr>
          <w:spacing w:val="-18"/>
          <w:lang w:val="en-GB"/>
        </w:rPr>
        <w:t xml:space="preserve"> </w:t>
      </w:r>
      <w:r w:rsidRPr="00F11E57">
        <w:rPr>
          <w:lang w:val="en-GB"/>
        </w:rPr>
        <w:t>2018.</w:t>
      </w:r>
    </w:p>
    <w:p w14:paraId="244F8558" w14:textId="77777777" w:rsidR="00FA136D" w:rsidRPr="00F11E57" w:rsidRDefault="00FA136D" w:rsidP="005557B1">
      <w:pPr>
        <w:pStyle w:val="BodyText"/>
        <w:spacing w:before="1" w:line="274" w:lineRule="auto"/>
        <w:ind w:left="260" w:firstLine="0"/>
        <w:rPr>
          <w:sz w:val="16"/>
          <w:lang w:val="en-GB"/>
        </w:rPr>
      </w:pPr>
    </w:p>
    <w:p w14:paraId="4E32927D" w14:textId="77777777" w:rsidR="00AB5574" w:rsidRPr="00F11E57" w:rsidRDefault="006F79B6" w:rsidP="00641A58">
      <w:pPr>
        <w:pStyle w:val="ListParagraph"/>
        <w:numPr>
          <w:ilvl w:val="0"/>
          <w:numId w:val="15"/>
        </w:numPr>
        <w:tabs>
          <w:tab w:val="left" w:pos="479"/>
        </w:tabs>
        <w:spacing w:before="1" w:line="274" w:lineRule="auto"/>
        <w:ind w:right="776" w:firstLine="0"/>
        <w:rPr>
          <w:lang w:val="en-GB"/>
        </w:rPr>
      </w:pPr>
      <w:r w:rsidRPr="00F11E57">
        <w:rPr>
          <w:lang w:val="en-GB"/>
        </w:rPr>
        <w:t>Review of Pre-existing Entity Accounts with an aggregate account balance or value that does not exceed USD 250 000 as of 31 December 2016, but exceeds USD 250 000 as of 31 December of a subsequent year, must be completed within the calendar year following the year in which the aggregate account balance or value exceeds USD 250</w:t>
      </w:r>
      <w:r w:rsidRPr="00F11E57">
        <w:rPr>
          <w:spacing w:val="-9"/>
          <w:lang w:val="en-GB"/>
        </w:rPr>
        <w:t xml:space="preserve"> </w:t>
      </w:r>
      <w:r w:rsidRPr="00F11E57">
        <w:rPr>
          <w:lang w:val="en-GB"/>
        </w:rPr>
        <w:t>000.</w:t>
      </w:r>
    </w:p>
    <w:p w14:paraId="3A633EED" w14:textId="77777777" w:rsidR="005557B1" w:rsidRPr="00F11E57" w:rsidRDefault="005557B1" w:rsidP="005557B1">
      <w:pPr>
        <w:pStyle w:val="BodyText"/>
        <w:spacing w:before="1" w:line="274" w:lineRule="auto"/>
        <w:ind w:left="260" w:firstLine="0"/>
        <w:rPr>
          <w:sz w:val="16"/>
          <w:lang w:val="en-GB"/>
        </w:rPr>
      </w:pPr>
    </w:p>
    <w:p w14:paraId="07E60FCD" w14:textId="3CC53232" w:rsidR="00AB5574" w:rsidRPr="00F11E57" w:rsidRDefault="006F79B6" w:rsidP="00641A58">
      <w:pPr>
        <w:pStyle w:val="ListParagraph"/>
        <w:numPr>
          <w:ilvl w:val="0"/>
          <w:numId w:val="15"/>
        </w:numPr>
        <w:tabs>
          <w:tab w:val="left" w:pos="479"/>
        </w:tabs>
        <w:spacing w:before="1" w:line="274" w:lineRule="auto"/>
        <w:ind w:right="716" w:firstLine="0"/>
        <w:rPr>
          <w:lang w:val="en-GB"/>
        </w:rPr>
      </w:pPr>
      <w:r w:rsidRPr="00F11E57">
        <w:rPr>
          <w:lang w:val="en-GB"/>
        </w:rPr>
        <w:t xml:space="preserve">If there is a change </w:t>
      </w:r>
      <w:r w:rsidR="00D03C6C" w:rsidRPr="00F11E57">
        <w:rPr>
          <w:lang w:val="en-GB"/>
        </w:rPr>
        <w:t>in</w:t>
      </w:r>
      <w:r w:rsidRPr="00F11E57">
        <w:rPr>
          <w:lang w:val="en-GB"/>
        </w:rPr>
        <w:t xml:space="preserve"> circumstances with respect to a Pre-existing Entity Account that causes the Reporting Financial Institution to know, or have reason to know, that the self-certification or other documentation associated with an account is incorrect or unreliable, the Reporting</w:t>
      </w:r>
      <w:r w:rsidRPr="00F11E57">
        <w:rPr>
          <w:spacing w:val="-13"/>
          <w:lang w:val="en-GB"/>
        </w:rPr>
        <w:t xml:space="preserve"> </w:t>
      </w:r>
      <w:r w:rsidRPr="00F11E57">
        <w:rPr>
          <w:lang w:val="en-GB"/>
        </w:rPr>
        <w:t>Financial</w:t>
      </w:r>
      <w:r w:rsidR="005557B1" w:rsidRPr="00F11E57">
        <w:rPr>
          <w:lang w:val="en-GB"/>
        </w:rPr>
        <w:t xml:space="preserve"> </w:t>
      </w:r>
      <w:r w:rsidRPr="00F11E57">
        <w:rPr>
          <w:lang w:val="en-GB"/>
        </w:rPr>
        <w:t>Institution must re-determine the status of the account in accordance with the procedures set forth in paragraph C.</w:t>
      </w:r>
    </w:p>
    <w:p w14:paraId="0C71EC42" w14:textId="77777777" w:rsidR="005557B1" w:rsidRPr="00F11E57" w:rsidRDefault="005557B1" w:rsidP="005557B1">
      <w:pPr>
        <w:tabs>
          <w:tab w:val="left" w:pos="479"/>
        </w:tabs>
        <w:spacing w:before="1" w:line="274" w:lineRule="auto"/>
        <w:ind w:right="716"/>
        <w:rPr>
          <w:lang w:val="en-GB"/>
        </w:rPr>
      </w:pPr>
    </w:p>
    <w:p w14:paraId="1FF8CDA4" w14:textId="77777777" w:rsidR="00AB5574" w:rsidRPr="00F11E57" w:rsidRDefault="006F79B6" w:rsidP="005557B1">
      <w:pPr>
        <w:pStyle w:val="BodyText"/>
        <w:spacing w:before="1" w:line="274" w:lineRule="auto"/>
        <w:ind w:left="2143" w:right="2456" w:firstLine="0"/>
        <w:jc w:val="center"/>
        <w:rPr>
          <w:lang w:val="en-GB"/>
        </w:rPr>
      </w:pPr>
      <w:r w:rsidRPr="00F11E57">
        <w:rPr>
          <w:lang w:val="en-GB"/>
        </w:rPr>
        <w:t>SECTION VI</w:t>
      </w:r>
    </w:p>
    <w:p w14:paraId="26F5DFD3" w14:textId="77777777" w:rsidR="00AB5574" w:rsidRPr="00F11E57" w:rsidRDefault="00AB5574" w:rsidP="005557B1">
      <w:pPr>
        <w:pStyle w:val="BodyText"/>
        <w:spacing w:before="1" w:line="274" w:lineRule="auto"/>
        <w:ind w:firstLine="0"/>
        <w:rPr>
          <w:sz w:val="19"/>
          <w:lang w:val="en-GB"/>
        </w:rPr>
      </w:pPr>
    </w:p>
    <w:p w14:paraId="419873ED" w14:textId="77777777" w:rsidR="00AB5574" w:rsidRPr="00F11E57" w:rsidRDefault="006F79B6" w:rsidP="005557B1">
      <w:pPr>
        <w:pStyle w:val="BodyText"/>
        <w:spacing w:before="1" w:line="274" w:lineRule="auto"/>
        <w:ind w:left="2764" w:firstLine="0"/>
        <w:rPr>
          <w:lang w:val="en-GB"/>
        </w:rPr>
      </w:pPr>
      <w:r w:rsidRPr="00F11E57">
        <w:rPr>
          <w:lang w:val="en-GB"/>
        </w:rPr>
        <w:t>DUE DILIGENCE FOR NEW ENTITY ACCOUNTS</w:t>
      </w:r>
    </w:p>
    <w:p w14:paraId="10A40F83" w14:textId="77777777" w:rsidR="00AB5574" w:rsidRPr="00F11E57" w:rsidRDefault="00AB5574" w:rsidP="005557B1">
      <w:pPr>
        <w:pStyle w:val="BodyText"/>
        <w:spacing w:before="1" w:line="274" w:lineRule="auto"/>
        <w:ind w:firstLine="0"/>
        <w:rPr>
          <w:sz w:val="19"/>
          <w:lang w:val="en-GB"/>
        </w:rPr>
      </w:pPr>
    </w:p>
    <w:p w14:paraId="00F3C1DA" w14:textId="77777777" w:rsidR="00AB5574" w:rsidRPr="00F11E57" w:rsidRDefault="006F79B6" w:rsidP="005557B1">
      <w:pPr>
        <w:pStyle w:val="BodyText"/>
        <w:spacing w:before="1" w:line="274" w:lineRule="auto"/>
        <w:ind w:left="260" w:firstLine="0"/>
        <w:rPr>
          <w:lang w:val="en-GB"/>
        </w:rPr>
      </w:pPr>
      <w:r w:rsidRPr="00F11E57">
        <w:rPr>
          <w:lang w:val="en-GB"/>
        </w:rPr>
        <w:t>The following procedures apply with respect to New Entity Accounts.</w:t>
      </w:r>
    </w:p>
    <w:p w14:paraId="22607095" w14:textId="77777777" w:rsidR="00AB5574" w:rsidRPr="00F11E57" w:rsidRDefault="00AB5574" w:rsidP="005557B1">
      <w:pPr>
        <w:pStyle w:val="BodyText"/>
        <w:spacing w:before="1" w:line="274" w:lineRule="auto"/>
        <w:ind w:firstLine="0"/>
        <w:rPr>
          <w:sz w:val="19"/>
          <w:lang w:val="en-GB"/>
        </w:rPr>
      </w:pPr>
    </w:p>
    <w:p w14:paraId="68CBDA4C" w14:textId="353D3BA4" w:rsidR="00AB5574" w:rsidRPr="00F11E57" w:rsidRDefault="006F79B6" w:rsidP="00641A58">
      <w:pPr>
        <w:pStyle w:val="ListParagraph"/>
        <w:numPr>
          <w:ilvl w:val="0"/>
          <w:numId w:val="31"/>
        </w:numPr>
        <w:tabs>
          <w:tab w:val="left" w:pos="503"/>
        </w:tabs>
        <w:spacing w:before="1" w:line="274" w:lineRule="auto"/>
        <w:ind w:left="270" w:firstLine="0"/>
        <w:rPr>
          <w:lang w:val="en-GB"/>
        </w:rPr>
      </w:pPr>
      <w:r w:rsidRPr="00F11E57">
        <w:rPr>
          <w:b/>
          <w:lang w:val="en-GB"/>
        </w:rPr>
        <w:t xml:space="preserve">Review Procedures for Identifying Entity Accounts With Respect to Which Reporting Is Required. </w:t>
      </w:r>
      <w:r w:rsidRPr="00F11E57">
        <w:rPr>
          <w:lang w:val="en-GB"/>
        </w:rPr>
        <w:t>For New Entity Accounts, a Reporting Financial Institution must apply the following review procedures:</w:t>
      </w:r>
    </w:p>
    <w:p w14:paraId="6F82769A" w14:textId="77777777" w:rsidR="00AB5574" w:rsidRPr="00F11E57" w:rsidRDefault="00AB5574" w:rsidP="005557B1">
      <w:pPr>
        <w:pStyle w:val="BodyText"/>
        <w:spacing w:before="1" w:line="274" w:lineRule="auto"/>
        <w:ind w:firstLine="0"/>
        <w:rPr>
          <w:sz w:val="16"/>
          <w:lang w:val="en-GB"/>
        </w:rPr>
      </w:pPr>
    </w:p>
    <w:p w14:paraId="7B0CE422" w14:textId="77777777" w:rsidR="00AB5574" w:rsidRPr="00F11E57" w:rsidRDefault="006F79B6" w:rsidP="00641A58">
      <w:pPr>
        <w:pStyle w:val="ListParagraph"/>
        <w:numPr>
          <w:ilvl w:val="0"/>
          <w:numId w:val="14"/>
        </w:numPr>
        <w:tabs>
          <w:tab w:val="left" w:pos="621"/>
        </w:tabs>
        <w:spacing w:before="1" w:line="274" w:lineRule="auto"/>
        <w:rPr>
          <w:b/>
          <w:lang w:val="en-GB"/>
        </w:rPr>
      </w:pPr>
      <w:r w:rsidRPr="00F11E57">
        <w:rPr>
          <w:b/>
          <w:lang w:val="en-GB"/>
        </w:rPr>
        <w:t>Determine the Residence of the</w:t>
      </w:r>
      <w:r w:rsidRPr="00F11E57">
        <w:rPr>
          <w:b/>
          <w:spacing w:val="-7"/>
          <w:lang w:val="en-GB"/>
        </w:rPr>
        <w:t xml:space="preserve"> </w:t>
      </w:r>
      <w:r w:rsidRPr="00F11E57">
        <w:rPr>
          <w:b/>
          <w:lang w:val="en-GB"/>
        </w:rPr>
        <w:t>Entity.</w:t>
      </w:r>
    </w:p>
    <w:p w14:paraId="3898E5A9" w14:textId="77777777" w:rsidR="00AB5574" w:rsidRPr="00F11E57" w:rsidRDefault="006F79B6" w:rsidP="00641A58">
      <w:pPr>
        <w:pStyle w:val="ListParagraph"/>
        <w:numPr>
          <w:ilvl w:val="1"/>
          <w:numId w:val="14"/>
        </w:numPr>
        <w:tabs>
          <w:tab w:val="left" w:pos="981"/>
        </w:tabs>
        <w:spacing w:before="1" w:line="274" w:lineRule="auto"/>
        <w:ind w:right="631"/>
        <w:rPr>
          <w:lang w:val="en-GB"/>
        </w:rPr>
      </w:pPr>
      <w:r w:rsidRPr="00F11E57">
        <w:rPr>
          <w:lang w:val="en-GB"/>
        </w:rPr>
        <w:t>Obtain a self-certification, which may be part of the account opening documentation, that allows the Reporting Financial Institution to determine the Account Holder's residence(s) for tax purposes and confirm the reasonableness of such self-certification based on the information obtained by the Reporting Financial Institution in connection with the opening of the account, including any documentation collected pursuant to AML/KYC Procedures. If the Entity certifies that it has no residence for tax purposes, the Reporting Financial Institution may rely on the address of the principal office of the Entity to determine the residence of the Account</w:t>
      </w:r>
      <w:r w:rsidRPr="00F11E57">
        <w:rPr>
          <w:spacing w:val="-6"/>
          <w:lang w:val="en-GB"/>
        </w:rPr>
        <w:t xml:space="preserve"> </w:t>
      </w:r>
      <w:r w:rsidRPr="00F11E57">
        <w:rPr>
          <w:lang w:val="en-GB"/>
        </w:rPr>
        <w:t>Holder.</w:t>
      </w:r>
    </w:p>
    <w:p w14:paraId="5CAF613B" w14:textId="77777777" w:rsidR="00AB5574" w:rsidRPr="00F11E57" w:rsidRDefault="006F79B6" w:rsidP="00641A58">
      <w:pPr>
        <w:pStyle w:val="ListParagraph"/>
        <w:numPr>
          <w:ilvl w:val="1"/>
          <w:numId w:val="14"/>
        </w:numPr>
        <w:tabs>
          <w:tab w:val="left" w:pos="981"/>
        </w:tabs>
        <w:spacing w:before="1" w:line="274" w:lineRule="auto"/>
        <w:ind w:right="876"/>
        <w:rPr>
          <w:lang w:val="en-GB"/>
        </w:rPr>
      </w:pPr>
      <w:r w:rsidRPr="00F11E57">
        <w:rPr>
          <w:lang w:val="en-GB"/>
        </w:rPr>
        <w:t xml:space="preserve">If the self-certification indicates that the Account Holder is resident in </w:t>
      </w:r>
      <w:r w:rsidRPr="00F11E57">
        <w:rPr>
          <w:lang w:val="en-GB"/>
        </w:rPr>
        <w:lastRenderedPageBreak/>
        <w:t>a Reportable Jurisdiction, the Reporting Financial Institution must treat the account as a Reportable Account, unless it reasonably determines based on information in its possession or that is publicly available that the Account Holder is not a Reportable Person with respect to such Reportable</w:t>
      </w:r>
      <w:r w:rsidRPr="00F11E57">
        <w:rPr>
          <w:spacing w:val="-1"/>
          <w:lang w:val="en-GB"/>
        </w:rPr>
        <w:t xml:space="preserve"> </w:t>
      </w:r>
      <w:r w:rsidRPr="00F11E57">
        <w:rPr>
          <w:lang w:val="en-GB"/>
        </w:rPr>
        <w:t>Jurisdiction.</w:t>
      </w:r>
    </w:p>
    <w:p w14:paraId="4F31F04C" w14:textId="77777777" w:rsidR="00AB5574" w:rsidRPr="00F11E57" w:rsidRDefault="006F79B6" w:rsidP="00641A58">
      <w:pPr>
        <w:pStyle w:val="ListParagraph"/>
        <w:numPr>
          <w:ilvl w:val="0"/>
          <w:numId w:val="14"/>
        </w:numPr>
        <w:tabs>
          <w:tab w:val="left" w:pos="621"/>
        </w:tabs>
        <w:spacing w:before="1" w:line="274" w:lineRule="auto"/>
        <w:ind w:right="577"/>
        <w:rPr>
          <w:lang w:val="en-GB"/>
        </w:rPr>
      </w:pPr>
      <w:r w:rsidRPr="00F11E57">
        <w:rPr>
          <w:b/>
          <w:lang w:val="en-GB"/>
        </w:rPr>
        <w:t xml:space="preserve">Determine the Residence of the Controlling Persons of a Passive NFE. </w:t>
      </w:r>
      <w:r w:rsidRPr="00F11E57">
        <w:rPr>
          <w:lang w:val="en-GB"/>
        </w:rPr>
        <w:t>With respect to an Account Holder of a New Entity Account (including an Entity that is a Reportable Person), the Reporting Financial Institution must determine whether the Account Holder is a Passive NFE with one or more Controlling Persons and determine the residence of such Reportable Persons. If any of the Controlling Persons of a Passive NFE is a Reportable Person, then the account must be treated as a Reportable Account. In making these determinations the Reporting Financial Institution must follow the guidance in subparagraphs A(2)(a) through (c) in the order most appropriate under the</w:t>
      </w:r>
      <w:r w:rsidRPr="00F11E57">
        <w:rPr>
          <w:spacing w:val="-5"/>
          <w:lang w:val="en-GB"/>
        </w:rPr>
        <w:t xml:space="preserve"> </w:t>
      </w:r>
      <w:r w:rsidRPr="00F11E57">
        <w:rPr>
          <w:lang w:val="en-GB"/>
        </w:rPr>
        <w:t>circumstances.</w:t>
      </w:r>
    </w:p>
    <w:p w14:paraId="49DC619C" w14:textId="77777777" w:rsidR="00AB5574" w:rsidRPr="00F11E57" w:rsidRDefault="006F79B6" w:rsidP="00641A58">
      <w:pPr>
        <w:pStyle w:val="ListParagraph"/>
        <w:numPr>
          <w:ilvl w:val="1"/>
          <w:numId w:val="14"/>
        </w:numPr>
        <w:tabs>
          <w:tab w:val="left" w:pos="981"/>
        </w:tabs>
        <w:spacing w:before="1" w:line="274" w:lineRule="auto"/>
        <w:ind w:right="579"/>
        <w:rPr>
          <w:lang w:val="en-GB"/>
        </w:rPr>
      </w:pPr>
      <w:r w:rsidRPr="00F11E57">
        <w:rPr>
          <w:b/>
          <w:lang w:val="en-GB"/>
        </w:rPr>
        <w:t xml:space="preserve">Determining whether the Account Holder is a Passive NFE. </w:t>
      </w:r>
      <w:r w:rsidRPr="00F11E57">
        <w:rPr>
          <w:lang w:val="en-GB"/>
        </w:rPr>
        <w:t>For purposes of determining whether the Account Holder is a Passive NFE, the Reporting Financial Institution must rely on a self-certification from the Account Holder to establish its status, unless it has information in its possession or that is publicly available, based on which it can reasonably determine that the Account Holder is an Active NFE or a Financial Institution other than an Investment Entity described in subparagraph A(6)(b) of Section VIII that is not a Participating Jurisdiction Financial</w:t>
      </w:r>
      <w:r w:rsidRPr="00F11E57">
        <w:rPr>
          <w:spacing w:val="-1"/>
          <w:lang w:val="en-GB"/>
        </w:rPr>
        <w:t xml:space="preserve"> </w:t>
      </w:r>
      <w:r w:rsidRPr="00F11E57">
        <w:rPr>
          <w:lang w:val="en-GB"/>
        </w:rPr>
        <w:t>Institution.</w:t>
      </w:r>
    </w:p>
    <w:p w14:paraId="26997AE2" w14:textId="77777777" w:rsidR="00AB5574" w:rsidRPr="00F11E57" w:rsidRDefault="006F79B6" w:rsidP="00641A58">
      <w:pPr>
        <w:pStyle w:val="ListParagraph"/>
        <w:numPr>
          <w:ilvl w:val="1"/>
          <w:numId w:val="14"/>
        </w:numPr>
        <w:tabs>
          <w:tab w:val="left" w:pos="981"/>
        </w:tabs>
        <w:spacing w:before="1" w:line="274" w:lineRule="auto"/>
        <w:ind w:right="574"/>
        <w:rPr>
          <w:lang w:val="en-GB"/>
        </w:rPr>
      </w:pPr>
      <w:r w:rsidRPr="00F11E57">
        <w:rPr>
          <w:b/>
          <w:lang w:val="en-GB"/>
        </w:rPr>
        <w:t xml:space="preserve">Determining the Controlling Persons of an Account Holder. </w:t>
      </w:r>
      <w:r w:rsidRPr="00F11E57">
        <w:rPr>
          <w:lang w:val="en-GB"/>
        </w:rPr>
        <w:t>For purposes of determining the Controlling Persons of an Account Holder, a Reporting Financial Institution may rely on information collected and maintained pursuant to AML/KYC</w:t>
      </w:r>
      <w:r w:rsidRPr="00F11E57">
        <w:rPr>
          <w:spacing w:val="-15"/>
          <w:lang w:val="en-GB"/>
        </w:rPr>
        <w:t xml:space="preserve"> </w:t>
      </w:r>
      <w:r w:rsidRPr="00F11E57">
        <w:rPr>
          <w:lang w:val="en-GB"/>
        </w:rPr>
        <w:t>Procedures.</w:t>
      </w:r>
    </w:p>
    <w:p w14:paraId="35EE0249" w14:textId="0ECC6162" w:rsidR="00AB5574" w:rsidRPr="00F11E57" w:rsidRDefault="006F79B6" w:rsidP="00641A58">
      <w:pPr>
        <w:pStyle w:val="ListParagraph"/>
        <w:numPr>
          <w:ilvl w:val="1"/>
          <w:numId w:val="14"/>
        </w:numPr>
        <w:tabs>
          <w:tab w:val="left" w:pos="981"/>
        </w:tabs>
        <w:spacing w:before="1" w:line="274" w:lineRule="auto"/>
        <w:ind w:right="964"/>
        <w:rPr>
          <w:lang w:val="en-GB"/>
        </w:rPr>
      </w:pPr>
      <w:r w:rsidRPr="00F11E57">
        <w:rPr>
          <w:b/>
          <w:lang w:val="en-GB"/>
        </w:rPr>
        <w:t xml:space="preserve">Determining the residence of a Controlling Person of a Passive NFE. </w:t>
      </w:r>
      <w:r w:rsidRPr="00F11E57">
        <w:rPr>
          <w:lang w:val="en-GB"/>
        </w:rPr>
        <w:t>For purposes of determining the residence of a Controlling Person of a Passive NFE, a Reporting</w:t>
      </w:r>
      <w:r w:rsidRPr="00F11E57">
        <w:rPr>
          <w:spacing w:val="-19"/>
          <w:lang w:val="en-GB"/>
        </w:rPr>
        <w:t xml:space="preserve"> </w:t>
      </w:r>
      <w:r w:rsidRPr="00F11E57">
        <w:rPr>
          <w:lang w:val="en-GB"/>
        </w:rPr>
        <w:t>Financial</w:t>
      </w:r>
      <w:r w:rsidR="00060F8A" w:rsidRPr="00F11E57">
        <w:rPr>
          <w:lang w:val="en-GB"/>
        </w:rPr>
        <w:t xml:space="preserve"> </w:t>
      </w:r>
      <w:r w:rsidRPr="00F11E57">
        <w:rPr>
          <w:lang w:val="en-GB"/>
        </w:rPr>
        <w:t>Institution may rely on a self-certification from the Account Holder or such Controlling Person.</w:t>
      </w:r>
    </w:p>
    <w:p w14:paraId="71DB6CB9" w14:textId="77777777" w:rsidR="007620CC" w:rsidRPr="00F11E57" w:rsidRDefault="007620CC" w:rsidP="005557B1">
      <w:pPr>
        <w:pStyle w:val="BodyText"/>
        <w:spacing w:before="1" w:line="274" w:lineRule="auto"/>
        <w:ind w:left="2143" w:right="2458" w:firstLine="0"/>
        <w:jc w:val="center"/>
        <w:rPr>
          <w:lang w:val="en-GB"/>
        </w:rPr>
      </w:pPr>
    </w:p>
    <w:p w14:paraId="06DA7141" w14:textId="77777777" w:rsidR="00AB5574" w:rsidRPr="00F11E57" w:rsidRDefault="006F79B6" w:rsidP="005557B1">
      <w:pPr>
        <w:pStyle w:val="BodyText"/>
        <w:spacing w:before="1" w:line="274" w:lineRule="auto"/>
        <w:ind w:left="2143" w:right="2458" w:firstLine="0"/>
        <w:jc w:val="center"/>
        <w:rPr>
          <w:lang w:val="en-GB"/>
        </w:rPr>
      </w:pPr>
      <w:r w:rsidRPr="00F11E57">
        <w:rPr>
          <w:lang w:val="en-GB"/>
        </w:rPr>
        <w:t>SECTION VII</w:t>
      </w:r>
    </w:p>
    <w:p w14:paraId="106F9001" w14:textId="77777777" w:rsidR="005557B1" w:rsidRPr="00F11E57" w:rsidRDefault="005557B1" w:rsidP="005557B1">
      <w:pPr>
        <w:pStyle w:val="BodyText"/>
        <w:spacing w:before="1" w:line="274" w:lineRule="auto"/>
        <w:ind w:firstLine="0"/>
        <w:rPr>
          <w:sz w:val="19"/>
          <w:lang w:val="en-GB"/>
        </w:rPr>
      </w:pPr>
    </w:p>
    <w:p w14:paraId="3F9EEAFD" w14:textId="77777777" w:rsidR="00AB5574" w:rsidRPr="00F11E57" w:rsidRDefault="006F79B6" w:rsidP="005557B1">
      <w:pPr>
        <w:pStyle w:val="BodyText"/>
        <w:spacing w:before="1" w:line="274" w:lineRule="auto"/>
        <w:ind w:left="2142" w:right="2459" w:firstLine="0"/>
        <w:jc w:val="center"/>
        <w:rPr>
          <w:lang w:val="en-GB"/>
        </w:rPr>
      </w:pPr>
      <w:r w:rsidRPr="00F11E57">
        <w:rPr>
          <w:lang w:val="en-GB"/>
        </w:rPr>
        <w:t>SPECIAL DUE DILIGENCE RULES</w:t>
      </w:r>
    </w:p>
    <w:p w14:paraId="4EA9CDB1" w14:textId="77777777" w:rsidR="00AB5574" w:rsidRPr="00F11E57" w:rsidRDefault="00AB5574" w:rsidP="005557B1">
      <w:pPr>
        <w:pStyle w:val="BodyText"/>
        <w:spacing w:before="1" w:line="274" w:lineRule="auto"/>
        <w:ind w:firstLine="0"/>
        <w:rPr>
          <w:sz w:val="19"/>
          <w:lang w:val="en-GB"/>
        </w:rPr>
      </w:pPr>
    </w:p>
    <w:p w14:paraId="6344DAB6" w14:textId="77777777" w:rsidR="00AB5574" w:rsidRPr="00F11E57" w:rsidRDefault="006F79B6" w:rsidP="005557B1">
      <w:pPr>
        <w:pStyle w:val="BodyText"/>
        <w:spacing w:before="1" w:line="274" w:lineRule="auto"/>
        <w:ind w:left="260" w:firstLine="0"/>
        <w:rPr>
          <w:lang w:val="en-GB"/>
        </w:rPr>
      </w:pPr>
      <w:r w:rsidRPr="00F11E57">
        <w:rPr>
          <w:lang w:val="en-GB"/>
        </w:rPr>
        <w:t>The following additional rules apply in implementing the due diligence procedures described</w:t>
      </w:r>
      <w:r w:rsidRPr="00F11E57">
        <w:rPr>
          <w:spacing w:val="-30"/>
          <w:lang w:val="en-GB"/>
        </w:rPr>
        <w:t xml:space="preserve"> </w:t>
      </w:r>
      <w:r w:rsidRPr="00F11E57">
        <w:rPr>
          <w:lang w:val="en-GB"/>
        </w:rPr>
        <w:t>above:</w:t>
      </w:r>
    </w:p>
    <w:p w14:paraId="63876908" w14:textId="77777777" w:rsidR="00AB5574" w:rsidRPr="00F11E57" w:rsidRDefault="00AB5574" w:rsidP="005557B1">
      <w:pPr>
        <w:pStyle w:val="BodyText"/>
        <w:spacing w:before="1" w:line="274" w:lineRule="auto"/>
        <w:ind w:firstLine="0"/>
        <w:rPr>
          <w:sz w:val="19"/>
          <w:lang w:val="en-GB"/>
        </w:rPr>
      </w:pPr>
    </w:p>
    <w:p w14:paraId="5CD54DD8" w14:textId="77777777" w:rsidR="00AB5574" w:rsidRPr="00F11E57" w:rsidRDefault="006F79B6" w:rsidP="00641A58">
      <w:pPr>
        <w:pStyle w:val="ListParagraph"/>
        <w:numPr>
          <w:ilvl w:val="0"/>
          <w:numId w:val="13"/>
        </w:numPr>
        <w:tabs>
          <w:tab w:val="left" w:pos="494"/>
        </w:tabs>
        <w:spacing w:before="1" w:line="274" w:lineRule="auto"/>
        <w:ind w:right="676" w:firstLine="0"/>
        <w:jc w:val="both"/>
        <w:rPr>
          <w:lang w:val="en-GB"/>
        </w:rPr>
      </w:pPr>
      <w:r w:rsidRPr="00F11E57">
        <w:rPr>
          <w:b/>
          <w:lang w:val="en-GB"/>
        </w:rPr>
        <w:t xml:space="preserve">Reliance on Self-Certifications and Documentary Evidence. </w:t>
      </w:r>
      <w:r w:rsidRPr="00F11E57">
        <w:rPr>
          <w:lang w:val="en-GB"/>
        </w:rPr>
        <w:t>A Reporting Financial Institution may not rely on a self- certification or Documentary Evidence if the Reporting Financial Institution knows or has reason to know that the self-</w:t>
      </w:r>
      <w:r w:rsidRPr="00F11E57">
        <w:rPr>
          <w:lang w:val="en-GB"/>
        </w:rPr>
        <w:lastRenderedPageBreak/>
        <w:t>certification or Documentary Evidence is incorrect or</w:t>
      </w:r>
      <w:r w:rsidRPr="00F11E57">
        <w:rPr>
          <w:spacing w:val="-20"/>
          <w:lang w:val="en-GB"/>
        </w:rPr>
        <w:t xml:space="preserve"> </w:t>
      </w:r>
      <w:r w:rsidRPr="00F11E57">
        <w:rPr>
          <w:lang w:val="en-GB"/>
        </w:rPr>
        <w:t>unreliable.</w:t>
      </w:r>
    </w:p>
    <w:p w14:paraId="7E182D8F" w14:textId="77777777" w:rsidR="00AB5574" w:rsidRPr="00F11E57" w:rsidRDefault="00AB5574" w:rsidP="005557B1">
      <w:pPr>
        <w:pStyle w:val="BodyText"/>
        <w:spacing w:before="1" w:line="274" w:lineRule="auto"/>
        <w:ind w:firstLine="0"/>
        <w:rPr>
          <w:sz w:val="16"/>
          <w:lang w:val="en-GB"/>
        </w:rPr>
      </w:pPr>
    </w:p>
    <w:p w14:paraId="686E3549" w14:textId="24F991B0" w:rsidR="00EE421B" w:rsidRPr="00F11E57" w:rsidRDefault="00EE421B" w:rsidP="00362DDA">
      <w:pPr>
        <w:pStyle w:val="ListParagraph"/>
        <w:numPr>
          <w:ilvl w:val="0"/>
          <w:numId w:val="13"/>
        </w:numPr>
        <w:tabs>
          <w:tab w:val="left" w:pos="487"/>
        </w:tabs>
        <w:spacing w:before="1" w:line="274" w:lineRule="auto"/>
        <w:ind w:right="717" w:firstLine="0"/>
        <w:jc w:val="both"/>
        <w:rPr>
          <w:lang w:val="en-GB"/>
        </w:rPr>
      </w:pPr>
      <w:r w:rsidRPr="00F11E57">
        <w:rPr>
          <w:b/>
          <w:lang w:val="en-GB"/>
        </w:rPr>
        <w:t xml:space="preserve">Change of Participating Jurisdictions during current reporting period. </w:t>
      </w:r>
      <w:r w:rsidR="00362DDA" w:rsidRPr="00F11E57">
        <w:rPr>
          <w:lang w:val="en-GB"/>
        </w:rPr>
        <w:t>A Reporting Financial Institution may apply the due diligence procedures for Pre-Existing Accounts, even if such accounts were opened after 1 January 2016, if there is a change of the Participating Jurisdictions with regard to a reporting period prior to the reporting date.</w:t>
      </w:r>
    </w:p>
    <w:p w14:paraId="66FF20F0" w14:textId="77777777" w:rsidR="00EE421B" w:rsidRPr="00F11E57" w:rsidRDefault="00EE421B" w:rsidP="00EE421B">
      <w:pPr>
        <w:pStyle w:val="BodyText"/>
        <w:spacing w:before="1" w:line="274" w:lineRule="auto"/>
        <w:ind w:firstLine="0"/>
        <w:rPr>
          <w:sz w:val="16"/>
          <w:lang w:val="en-GB"/>
        </w:rPr>
      </w:pPr>
    </w:p>
    <w:p w14:paraId="0098BBD7" w14:textId="77777777" w:rsidR="00AB5574" w:rsidRPr="00F11E57" w:rsidRDefault="006F79B6" w:rsidP="00641A58">
      <w:pPr>
        <w:pStyle w:val="ListParagraph"/>
        <w:numPr>
          <w:ilvl w:val="0"/>
          <w:numId w:val="13"/>
        </w:numPr>
        <w:tabs>
          <w:tab w:val="left" w:pos="487"/>
        </w:tabs>
        <w:spacing w:before="1" w:line="274" w:lineRule="auto"/>
        <w:ind w:right="717" w:firstLine="0"/>
        <w:rPr>
          <w:lang w:val="en-GB"/>
        </w:rPr>
      </w:pPr>
      <w:r w:rsidRPr="00F11E57">
        <w:rPr>
          <w:b/>
          <w:lang w:val="en-GB"/>
        </w:rPr>
        <w:t xml:space="preserve">Alternative Procedures for Financial Accounts held by Individual Beneficiaries of a Cash Value Insurance Contract or an Annuity Contract and for a Group Cash Value Insurance Contract or Group Annuity Contract. </w:t>
      </w:r>
      <w:r w:rsidRPr="00F11E57">
        <w:rPr>
          <w:lang w:val="en-GB"/>
        </w:rPr>
        <w:t>A Reporting Financial Institution may presume that an individual beneficiary (other than the owner) of a Cash Value Insurance Contract or an Annuity Contract receiving a death benefit is not a Reportable Person and may treat such Financial Account as other than a Reportable Account unless the Reporting Financial Institution has actual knowledge, or reason to know, that the beneficiary is a Reportable Person. A Reporting Financial Institution has reason to know that a beneficiary of a Cash Value Insurance Contract or an Annuity Contract is a Reportable Person if the information collected by the Reporting Financial Institution and associated with the beneficiary contains indicia as described in paragraph B of Section III. If a Reporting Financial Institution has actual knowledge, or reason to know, that the beneficiary is a Reportable Person, the Reporting Financial Institution must follow the procedures in paragraph B of Section</w:t>
      </w:r>
      <w:r w:rsidRPr="00F11E57">
        <w:rPr>
          <w:spacing w:val="-31"/>
          <w:lang w:val="en-GB"/>
        </w:rPr>
        <w:t xml:space="preserve"> </w:t>
      </w:r>
      <w:r w:rsidRPr="00F11E57">
        <w:rPr>
          <w:lang w:val="en-GB"/>
        </w:rPr>
        <w:t>III.</w:t>
      </w:r>
    </w:p>
    <w:p w14:paraId="7E6AE85D" w14:textId="77777777" w:rsidR="00AB5574" w:rsidRPr="00F11E57" w:rsidRDefault="00AB5574" w:rsidP="005557B1">
      <w:pPr>
        <w:pStyle w:val="BodyText"/>
        <w:spacing w:before="1" w:line="274" w:lineRule="auto"/>
        <w:ind w:firstLine="0"/>
        <w:rPr>
          <w:sz w:val="16"/>
          <w:lang w:val="en-GB"/>
        </w:rPr>
      </w:pPr>
    </w:p>
    <w:p w14:paraId="66614001" w14:textId="77777777" w:rsidR="00AB5574" w:rsidRPr="00F11E57" w:rsidRDefault="006F79B6" w:rsidP="005557B1">
      <w:pPr>
        <w:pStyle w:val="BodyText"/>
        <w:spacing w:before="1" w:line="274" w:lineRule="auto"/>
        <w:ind w:left="260" w:right="588" w:firstLine="0"/>
        <w:rPr>
          <w:lang w:val="en-GB"/>
        </w:rPr>
      </w:pPr>
      <w:r w:rsidRPr="00F11E57">
        <w:rPr>
          <w:lang w:val="en-GB"/>
        </w:rPr>
        <w:t>A Reporting Financial Institution may treat a Financial Account that is a member's interest in a Group Cash Value Insurance Contract or Group Annuity Contract as a Financial Account that is not a Reportable Account until the date on which an amount is payable to the employee/certificate holder or beneficiary, if the Financial Account that is a member's interest in a Group Cash Value Insurance Contract or Group Annuity Contract meets the following requirements:</w:t>
      </w:r>
    </w:p>
    <w:p w14:paraId="3BE15449" w14:textId="77777777" w:rsidR="00AB5574" w:rsidRPr="00F11E57" w:rsidRDefault="00AB5574" w:rsidP="005557B1">
      <w:pPr>
        <w:pStyle w:val="BodyText"/>
        <w:spacing w:before="1" w:line="274" w:lineRule="auto"/>
        <w:ind w:firstLine="0"/>
        <w:rPr>
          <w:sz w:val="16"/>
          <w:lang w:val="en-GB"/>
        </w:rPr>
      </w:pPr>
    </w:p>
    <w:p w14:paraId="4E6B39E7" w14:textId="77777777" w:rsidR="00AB5574" w:rsidRPr="00F11E57" w:rsidRDefault="006F79B6" w:rsidP="00641A58">
      <w:pPr>
        <w:pStyle w:val="ListParagraph"/>
        <w:numPr>
          <w:ilvl w:val="1"/>
          <w:numId w:val="13"/>
        </w:numPr>
        <w:tabs>
          <w:tab w:val="left" w:pos="981"/>
        </w:tabs>
        <w:spacing w:before="1" w:line="274" w:lineRule="auto"/>
        <w:ind w:right="1465"/>
        <w:rPr>
          <w:lang w:val="en-GB"/>
        </w:rPr>
      </w:pPr>
      <w:r w:rsidRPr="00F11E57">
        <w:rPr>
          <w:lang w:val="en-GB"/>
        </w:rPr>
        <w:t>the Group Cash Value Insurance Contract or Group Annuity Contract is issued to an employer and covers 25 or more employees/certificate</w:t>
      </w:r>
      <w:r w:rsidRPr="00F11E57">
        <w:rPr>
          <w:spacing w:val="-13"/>
          <w:lang w:val="en-GB"/>
        </w:rPr>
        <w:t xml:space="preserve"> </w:t>
      </w:r>
      <w:r w:rsidRPr="00F11E57">
        <w:rPr>
          <w:lang w:val="en-GB"/>
        </w:rPr>
        <w:t>holders;</w:t>
      </w:r>
    </w:p>
    <w:p w14:paraId="02993467" w14:textId="77777777" w:rsidR="00AB5574" w:rsidRPr="00F11E57" w:rsidRDefault="006F79B6" w:rsidP="00641A58">
      <w:pPr>
        <w:pStyle w:val="ListParagraph"/>
        <w:numPr>
          <w:ilvl w:val="1"/>
          <w:numId w:val="13"/>
        </w:numPr>
        <w:tabs>
          <w:tab w:val="left" w:pos="981"/>
        </w:tabs>
        <w:spacing w:before="1" w:line="274" w:lineRule="auto"/>
        <w:ind w:right="683"/>
        <w:rPr>
          <w:lang w:val="en-GB"/>
        </w:rPr>
      </w:pPr>
      <w:r w:rsidRPr="00F11E57">
        <w:rPr>
          <w:lang w:val="en-GB"/>
        </w:rPr>
        <w:t>the employee/certificate holders are entitled to receive any contract value related to their interests and to name beneficiaries for the benefit payable upon the employee's death;</w:t>
      </w:r>
      <w:r w:rsidRPr="00F11E57">
        <w:rPr>
          <w:spacing w:val="-22"/>
          <w:lang w:val="en-GB"/>
        </w:rPr>
        <w:t xml:space="preserve"> </w:t>
      </w:r>
      <w:r w:rsidRPr="00F11E57">
        <w:rPr>
          <w:lang w:val="en-GB"/>
        </w:rPr>
        <w:t>and</w:t>
      </w:r>
    </w:p>
    <w:p w14:paraId="4A7C12F5" w14:textId="77777777" w:rsidR="00AB5574" w:rsidRPr="00F11E57" w:rsidRDefault="006F79B6" w:rsidP="00641A58">
      <w:pPr>
        <w:pStyle w:val="ListParagraph"/>
        <w:numPr>
          <w:ilvl w:val="1"/>
          <w:numId w:val="13"/>
        </w:numPr>
        <w:tabs>
          <w:tab w:val="left" w:pos="981"/>
        </w:tabs>
        <w:spacing w:before="1" w:line="274" w:lineRule="auto"/>
        <w:ind w:right="856"/>
        <w:rPr>
          <w:lang w:val="en-GB"/>
        </w:rPr>
      </w:pPr>
      <w:r w:rsidRPr="00F11E57">
        <w:rPr>
          <w:lang w:val="en-GB"/>
        </w:rPr>
        <w:t>the aggregate amount payable to any employee/certificate holder or beneficiary does not exceed USD 1 000</w:t>
      </w:r>
      <w:r w:rsidRPr="00F11E57">
        <w:rPr>
          <w:spacing w:val="-5"/>
          <w:lang w:val="en-GB"/>
        </w:rPr>
        <w:t xml:space="preserve"> </w:t>
      </w:r>
      <w:r w:rsidRPr="00F11E57">
        <w:rPr>
          <w:lang w:val="en-GB"/>
        </w:rPr>
        <w:t>000.</w:t>
      </w:r>
    </w:p>
    <w:p w14:paraId="3903B89E" w14:textId="77777777" w:rsidR="005557B1" w:rsidRPr="00F11E57" w:rsidRDefault="005557B1" w:rsidP="005557B1">
      <w:pPr>
        <w:pStyle w:val="BodyText"/>
        <w:spacing w:before="1" w:line="274" w:lineRule="auto"/>
        <w:ind w:firstLine="0"/>
        <w:rPr>
          <w:sz w:val="16"/>
          <w:lang w:val="en-GB"/>
        </w:rPr>
      </w:pPr>
    </w:p>
    <w:p w14:paraId="14F01C0C" w14:textId="77777777" w:rsidR="00AB5574" w:rsidRPr="00F11E57" w:rsidRDefault="006F79B6" w:rsidP="005557B1">
      <w:pPr>
        <w:pStyle w:val="BodyText"/>
        <w:spacing w:before="1" w:line="274" w:lineRule="auto"/>
        <w:ind w:left="260" w:right="757" w:firstLine="0"/>
        <w:rPr>
          <w:lang w:val="en-GB"/>
        </w:rPr>
      </w:pPr>
      <w:r w:rsidRPr="00F11E57">
        <w:rPr>
          <w:lang w:val="en-GB"/>
        </w:rPr>
        <w:t>The term “</w:t>
      </w:r>
      <w:r w:rsidRPr="00F11E57">
        <w:rPr>
          <w:b/>
          <w:bCs/>
          <w:lang w:val="en-GB"/>
        </w:rPr>
        <w:t>Group Cash Value Insurance Contract</w:t>
      </w:r>
      <w:r w:rsidRPr="00F11E57">
        <w:rPr>
          <w:lang w:val="en-GB"/>
        </w:rPr>
        <w:t xml:space="preserve">” means a Cash Value Insurance Contract that (i) provides coverage on individuals who are affiliated through an employer, trade association, labour union, or other association or </w:t>
      </w:r>
      <w:r w:rsidRPr="00F11E57">
        <w:rPr>
          <w:lang w:val="en-GB"/>
        </w:rPr>
        <w:lastRenderedPageBreak/>
        <w:t>group; and (ii) charges a premium for each member of the group (or member of a class within the group) that is determined without regard to the individual health characteristics other than age, gender, and smoking habits of the member (or class of members) of the group.</w:t>
      </w:r>
    </w:p>
    <w:p w14:paraId="719520AD" w14:textId="77777777" w:rsidR="005557B1" w:rsidRPr="00F11E57" w:rsidRDefault="005557B1" w:rsidP="005557B1">
      <w:pPr>
        <w:pStyle w:val="BodyText"/>
        <w:spacing w:before="1" w:line="274" w:lineRule="auto"/>
        <w:ind w:firstLine="0"/>
        <w:rPr>
          <w:sz w:val="16"/>
          <w:lang w:val="en-GB"/>
        </w:rPr>
      </w:pPr>
    </w:p>
    <w:p w14:paraId="312C2F04" w14:textId="77777777" w:rsidR="00AB5574" w:rsidRPr="00F11E57" w:rsidRDefault="006F79B6" w:rsidP="005557B1">
      <w:pPr>
        <w:pStyle w:val="BodyText"/>
        <w:spacing w:before="1" w:line="274" w:lineRule="auto"/>
        <w:ind w:left="260" w:right="1280" w:firstLine="0"/>
        <w:rPr>
          <w:lang w:val="en-GB"/>
        </w:rPr>
      </w:pPr>
      <w:r w:rsidRPr="00F11E57">
        <w:rPr>
          <w:lang w:val="en-GB"/>
        </w:rPr>
        <w:t>The term “</w:t>
      </w:r>
      <w:r w:rsidRPr="00F11E57">
        <w:rPr>
          <w:b/>
          <w:bCs/>
          <w:lang w:val="en-GB"/>
        </w:rPr>
        <w:t>Group Annuity Contract</w:t>
      </w:r>
      <w:r w:rsidRPr="00F11E57">
        <w:rPr>
          <w:lang w:val="en-GB"/>
        </w:rPr>
        <w:t>” means an Annuity Contract under which the obligees are individuals who are affiliated through an employer, trade association, labour union, or other association or group.</w:t>
      </w:r>
    </w:p>
    <w:p w14:paraId="13E7A921" w14:textId="77777777" w:rsidR="005557B1" w:rsidRPr="00F11E57" w:rsidRDefault="005557B1" w:rsidP="005557B1">
      <w:pPr>
        <w:pStyle w:val="BodyText"/>
        <w:spacing w:before="1" w:line="274" w:lineRule="auto"/>
        <w:ind w:firstLine="0"/>
        <w:rPr>
          <w:sz w:val="16"/>
          <w:lang w:val="en-GB"/>
        </w:rPr>
      </w:pPr>
    </w:p>
    <w:p w14:paraId="38B8C532" w14:textId="77777777" w:rsidR="00AB5574" w:rsidRPr="00F11E57" w:rsidRDefault="006F79B6" w:rsidP="00641A58">
      <w:pPr>
        <w:pStyle w:val="ListParagraph"/>
        <w:numPr>
          <w:ilvl w:val="0"/>
          <w:numId w:val="13"/>
        </w:numPr>
        <w:tabs>
          <w:tab w:val="left" w:pos="484"/>
        </w:tabs>
        <w:spacing w:before="1" w:line="274" w:lineRule="auto"/>
        <w:ind w:left="483" w:hanging="223"/>
        <w:rPr>
          <w:b/>
          <w:lang w:val="en-GB"/>
        </w:rPr>
      </w:pPr>
      <w:r w:rsidRPr="00F11E57">
        <w:rPr>
          <w:b/>
          <w:lang w:val="en-GB"/>
        </w:rPr>
        <w:t>Account Balance Aggregation and Currency</w:t>
      </w:r>
      <w:r w:rsidRPr="00F11E57">
        <w:rPr>
          <w:b/>
          <w:spacing w:val="-6"/>
          <w:lang w:val="en-GB"/>
        </w:rPr>
        <w:t xml:space="preserve"> </w:t>
      </w:r>
      <w:r w:rsidRPr="00F11E57">
        <w:rPr>
          <w:b/>
          <w:lang w:val="en-GB"/>
        </w:rPr>
        <w:t>Rules.</w:t>
      </w:r>
    </w:p>
    <w:p w14:paraId="618DB1B7" w14:textId="77777777" w:rsidR="005557B1" w:rsidRPr="00F11E57" w:rsidRDefault="005557B1" w:rsidP="005557B1">
      <w:pPr>
        <w:pStyle w:val="BodyText"/>
        <w:spacing w:before="1" w:line="274" w:lineRule="auto"/>
        <w:ind w:firstLine="0"/>
        <w:rPr>
          <w:sz w:val="16"/>
          <w:lang w:val="en-GB"/>
        </w:rPr>
      </w:pPr>
    </w:p>
    <w:p w14:paraId="633B6616" w14:textId="77777777" w:rsidR="00AB5574" w:rsidRPr="00F11E57" w:rsidRDefault="006F79B6" w:rsidP="00641A58">
      <w:pPr>
        <w:pStyle w:val="ListParagraph"/>
        <w:numPr>
          <w:ilvl w:val="0"/>
          <w:numId w:val="12"/>
        </w:numPr>
        <w:tabs>
          <w:tab w:val="left" w:pos="621"/>
        </w:tabs>
        <w:spacing w:before="1" w:line="274" w:lineRule="auto"/>
        <w:ind w:right="593"/>
        <w:rPr>
          <w:lang w:val="en-GB"/>
        </w:rPr>
      </w:pPr>
      <w:r w:rsidRPr="00F11E57">
        <w:rPr>
          <w:b/>
          <w:lang w:val="en-GB"/>
        </w:rPr>
        <w:t xml:space="preserve">Aggregation of Individual Accounts. </w:t>
      </w:r>
      <w:r w:rsidRPr="00F11E57">
        <w:rPr>
          <w:lang w:val="en-GB"/>
        </w:rPr>
        <w:t>For purposes of determining the aggregate balance or value of Financial Accounts held by an individual, a Reporting Financial Institution is required to aggregate all Financial Accounts maintained by the Reporting Financial Institution, or by a Related Entity, but only to the extent that the Reporting Financial Institution's computerised systems link the Financial Accounts by reference to a data element such as client number or TIN, and allow account balances or values to be aggregated. Each holder of a jointly held Financial Account shall be attributed the entire balance or value of the jointly held Financial Account for purposes of applying the aggregation requirements described in this</w:t>
      </w:r>
      <w:r w:rsidRPr="00F11E57">
        <w:rPr>
          <w:spacing w:val="-13"/>
          <w:lang w:val="en-GB"/>
        </w:rPr>
        <w:t xml:space="preserve"> </w:t>
      </w:r>
      <w:r w:rsidRPr="00F11E57">
        <w:rPr>
          <w:lang w:val="en-GB"/>
        </w:rPr>
        <w:t>subparagraph.</w:t>
      </w:r>
    </w:p>
    <w:p w14:paraId="78C8474F" w14:textId="77777777" w:rsidR="00AB5574" w:rsidRPr="00F11E57" w:rsidRDefault="006F79B6" w:rsidP="00641A58">
      <w:pPr>
        <w:pStyle w:val="ListParagraph"/>
        <w:numPr>
          <w:ilvl w:val="0"/>
          <w:numId w:val="12"/>
        </w:numPr>
        <w:tabs>
          <w:tab w:val="left" w:pos="621"/>
        </w:tabs>
        <w:spacing w:before="1" w:line="274" w:lineRule="auto"/>
        <w:ind w:right="632"/>
        <w:rPr>
          <w:lang w:val="en-GB"/>
        </w:rPr>
      </w:pPr>
      <w:r w:rsidRPr="00F11E57">
        <w:rPr>
          <w:b/>
          <w:lang w:val="en-GB"/>
        </w:rPr>
        <w:t xml:space="preserve">Aggregation of Entity Accounts. </w:t>
      </w:r>
      <w:r w:rsidRPr="00F11E57">
        <w:rPr>
          <w:lang w:val="en-GB"/>
        </w:rPr>
        <w:t>For purposes of determining the aggregate balance or value of Financial Accounts held by an Entity, a Reporting Financial Institution is required to take into account all Financial Accounts that are maintained by the Reporting Financial Institution, or by a Related Entity, but only to the extent that the Reporting Financial Institution's computerised systems link the Financial Accounts by reference to a data element such as client number or TIN, and allow account balances or values to be aggregated. Each holder of a jointly held Financial Account shall be attributed the entire balance or value of the jointly held Financial Account for purposes of applying the aggregation requirements described in this</w:t>
      </w:r>
      <w:r w:rsidRPr="00F11E57">
        <w:rPr>
          <w:spacing w:val="-13"/>
          <w:lang w:val="en-GB"/>
        </w:rPr>
        <w:t xml:space="preserve"> </w:t>
      </w:r>
      <w:r w:rsidRPr="00F11E57">
        <w:rPr>
          <w:lang w:val="en-GB"/>
        </w:rPr>
        <w:t>subparagraph.</w:t>
      </w:r>
    </w:p>
    <w:p w14:paraId="3664A26D" w14:textId="4ED49A14" w:rsidR="00AB5574" w:rsidRPr="00F11E57" w:rsidRDefault="006F79B6" w:rsidP="00641A58">
      <w:pPr>
        <w:pStyle w:val="ListParagraph"/>
        <w:numPr>
          <w:ilvl w:val="0"/>
          <w:numId w:val="12"/>
        </w:numPr>
        <w:tabs>
          <w:tab w:val="left" w:pos="621"/>
        </w:tabs>
        <w:spacing w:before="1" w:line="274" w:lineRule="auto"/>
        <w:ind w:right="577"/>
        <w:rPr>
          <w:lang w:val="en-GB"/>
        </w:rPr>
      </w:pPr>
      <w:r w:rsidRPr="00F11E57">
        <w:rPr>
          <w:b/>
          <w:lang w:val="en-GB"/>
        </w:rPr>
        <w:t xml:space="preserve">Special Aggregation Rule Applicable to Relationship Managers. </w:t>
      </w:r>
      <w:r w:rsidRPr="00F11E57">
        <w:rPr>
          <w:lang w:val="en-GB"/>
        </w:rPr>
        <w:t xml:space="preserve">For purposes of determining the aggregate balance or value of Financial Accounts held by a person to determine whether a </w:t>
      </w:r>
      <w:r w:rsidR="00976BE6" w:rsidRPr="00F11E57">
        <w:rPr>
          <w:lang w:val="en-GB"/>
        </w:rPr>
        <w:t>F</w:t>
      </w:r>
      <w:r w:rsidRPr="00F11E57">
        <w:rPr>
          <w:lang w:val="en-GB"/>
        </w:rPr>
        <w:t xml:space="preserve">inancial </w:t>
      </w:r>
      <w:r w:rsidR="00976BE6" w:rsidRPr="00F11E57">
        <w:rPr>
          <w:lang w:val="en-GB"/>
        </w:rPr>
        <w:t>A</w:t>
      </w:r>
      <w:r w:rsidRPr="00F11E57">
        <w:rPr>
          <w:lang w:val="en-GB"/>
        </w:rPr>
        <w:t>ccount is a High Value Account, a Reporting Financial Institution is also required, in the case of any Financial Accounts that a relationship manager knows, or has reason to know, are directly or indirectly owned, controlled, or established (other than in a fiduciary capacity) by the same person, to aggregate all such</w:t>
      </w:r>
      <w:r w:rsidRPr="00F11E57">
        <w:rPr>
          <w:spacing w:val="-6"/>
          <w:lang w:val="en-GB"/>
        </w:rPr>
        <w:t xml:space="preserve"> </w:t>
      </w:r>
      <w:r w:rsidRPr="00F11E57">
        <w:rPr>
          <w:lang w:val="en-GB"/>
        </w:rPr>
        <w:t>accounts.</w:t>
      </w:r>
    </w:p>
    <w:p w14:paraId="4DB80BD5" w14:textId="77777777" w:rsidR="00AB5574" w:rsidRPr="00F11E57" w:rsidRDefault="006F79B6" w:rsidP="00641A58">
      <w:pPr>
        <w:pStyle w:val="ListParagraph"/>
        <w:numPr>
          <w:ilvl w:val="0"/>
          <w:numId w:val="12"/>
        </w:numPr>
        <w:tabs>
          <w:tab w:val="left" w:pos="621"/>
        </w:tabs>
        <w:spacing w:before="1" w:line="274" w:lineRule="auto"/>
        <w:rPr>
          <w:b/>
          <w:lang w:val="en-GB"/>
        </w:rPr>
      </w:pPr>
      <w:r w:rsidRPr="00F11E57">
        <w:rPr>
          <w:b/>
          <w:lang w:val="en-GB"/>
        </w:rPr>
        <w:t>Amounts Read to Include Equivalent in Other</w:t>
      </w:r>
      <w:r w:rsidRPr="00F11E57">
        <w:rPr>
          <w:b/>
          <w:spacing w:val="-21"/>
          <w:lang w:val="en-GB"/>
        </w:rPr>
        <w:t xml:space="preserve"> </w:t>
      </w:r>
      <w:r w:rsidRPr="00F11E57">
        <w:rPr>
          <w:b/>
          <w:lang w:val="en-GB"/>
        </w:rPr>
        <w:t>Currencies.</w:t>
      </w:r>
    </w:p>
    <w:p w14:paraId="28AADB39" w14:textId="5518F08F" w:rsidR="00AB5574" w:rsidRPr="00F11E57" w:rsidRDefault="006F79B6" w:rsidP="00641A58">
      <w:pPr>
        <w:pStyle w:val="ListParagraph"/>
        <w:numPr>
          <w:ilvl w:val="1"/>
          <w:numId w:val="12"/>
        </w:numPr>
        <w:tabs>
          <w:tab w:val="left" w:pos="981"/>
        </w:tabs>
        <w:spacing w:before="1" w:line="274" w:lineRule="auto"/>
        <w:ind w:right="645"/>
        <w:rPr>
          <w:lang w:val="en-GB"/>
        </w:rPr>
      </w:pPr>
      <w:r w:rsidRPr="00F11E57">
        <w:rPr>
          <w:lang w:val="en-GB"/>
        </w:rPr>
        <w:t>All dollar amounts</w:t>
      </w:r>
      <w:r w:rsidR="00976BE6" w:rsidRPr="00F11E57">
        <w:rPr>
          <w:lang w:val="en-GB"/>
        </w:rPr>
        <w:t xml:space="preserve"> in these Regulations</w:t>
      </w:r>
      <w:r w:rsidRPr="00F11E57">
        <w:rPr>
          <w:lang w:val="en-GB"/>
        </w:rPr>
        <w:t xml:space="preserve"> are in US dollars and shall be read to include equivalent amounts in other currencies.</w:t>
      </w:r>
    </w:p>
    <w:p w14:paraId="3DA8E250" w14:textId="7225E97C" w:rsidR="00AB5574" w:rsidRPr="00F11E57" w:rsidRDefault="006F79B6" w:rsidP="00641A58">
      <w:pPr>
        <w:pStyle w:val="ListParagraph"/>
        <w:numPr>
          <w:ilvl w:val="1"/>
          <w:numId w:val="12"/>
        </w:numPr>
        <w:tabs>
          <w:tab w:val="left" w:pos="981"/>
        </w:tabs>
        <w:spacing w:before="1" w:line="274" w:lineRule="auto"/>
        <w:ind w:right="622"/>
        <w:rPr>
          <w:lang w:val="en-GB"/>
        </w:rPr>
      </w:pPr>
      <w:r w:rsidRPr="00F11E57">
        <w:rPr>
          <w:lang w:val="en-GB"/>
        </w:rPr>
        <w:lastRenderedPageBreak/>
        <w:t xml:space="preserve">In determining the balance or value of an account denominated in a currency (other than US dollars) for the purposes of these Regulations, the </w:t>
      </w:r>
      <w:r w:rsidR="00976BE6" w:rsidRPr="00F11E57">
        <w:rPr>
          <w:lang w:val="en-GB"/>
        </w:rPr>
        <w:t>F</w:t>
      </w:r>
      <w:r w:rsidRPr="00F11E57">
        <w:rPr>
          <w:lang w:val="en-GB"/>
        </w:rPr>
        <w:t xml:space="preserve">inancial </w:t>
      </w:r>
      <w:r w:rsidR="00976BE6" w:rsidRPr="00F11E57">
        <w:rPr>
          <w:lang w:val="en-GB"/>
        </w:rPr>
        <w:t>I</w:t>
      </w:r>
      <w:r w:rsidRPr="00F11E57">
        <w:rPr>
          <w:lang w:val="en-GB"/>
        </w:rPr>
        <w:t xml:space="preserve">nstitution shall </w:t>
      </w:r>
      <w:r w:rsidR="00976BE6" w:rsidRPr="00F11E57">
        <w:rPr>
          <w:lang w:val="en-GB"/>
        </w:rPr>
        <w:t xml:space="preserve">convert </w:t>
      </w:r>
      <w:r w:rsidRPr="00F11E57">
        <w:rPr>
          <w:lang w:val="en-GB"/>
        </w:rPr>
        <w:t xml:space="preserve">the relevant US dollars threshold amount described in these Regulations into the other currency by reference to the spot rate of exchange on the date for which the </w:t>
      </w:r>
      <w:r w:rsidR="00976BE6" w:rsidRPr="00F11E57">
        <w:rPr>
          <w:lang w:val="en-GB"/>
        </w:rPr>
        <w:t>Financial I</w:t>
      </w:r>
      <w:r w:rsidRPr="00F11E57">
        <w:rPr>
          <w:lang w:val="en-GB"/>
        </w:rPr>
        <w:t>nstitution is determining the threshold</w:t>
      </w:r>
      <w:r w:rsidRPr="00F11E57">
        <w:rPr>
          <w:spacing w:val="-6"/>
          <w:lang w:val="en-GB"/>
        </w:rPr>
        <w:t xml:space="preserve"> </w:t>
      </w:r>
      <w:r w:rsidRPr="00F11E57">
        <w:rPr>
          <w:lang w:val="en-GB"/>
        </w:rPr>
        <w:t>amounts</w:t>
      </w:r>
      <w:r w:rsidR="0092191C" w:rsidRPr="00F11E57">
        <w:rPr>
          <w:lang w:val="en-GB"/>
        </w:rPr>
        <w:t>,</w:t>
      </w:r>
      <w:r w:rsidR="0092191C" w:rsidRPr="00F11E57">
        <w:t xml:space="preserve"> </w:t>
      </w:r>
      <w:r w:rsidR="005C362F" w:rsidRPr="00F11E57">
        <w:t xml:space="preserve">except for </w:t>
      </w:r>
      <w:r w:rsidR="00381AB6" w:rsidRPr="00F11E57">
        <w:t>AED/</w:t>
      </w:r>
      <w:r w:rsidR="005C362F" w:rsidRPr="00F11E57">
        <w:t>USD</w:t>
      </w:r>
      <w:r w:rsidR="00381AB6" w:rsidRPr="00F11E57">
        <w:t xml:space="preserve"> </w:t>
      </w:r>
      <w:r w:rsidR="0092191C" w:rsidRPr="00F11E57">
        <w:t xml:space="preserve">conversions for which the official </w:t>
      </w:r>
      <w:r w:rsidR="005C362F" w:rsidRPr="00F11E57">
        <w:t>fixed exchange</w:t>
      </w:r>
      <w:r w:rsidR="0092191C" w:rsidRPr="00F11E57">
        <w:t xml:space="preserve"> rate applies</w:t>
      </w:r>
      <w:r w:rsidRPr="00F11E57">
        <w:rPr>
          <w:lang w:val="en-GB"/>
        </w:rPr>
        <w:t>.</w:t>
      </w:r>
    </w:p>
    <w:p w14:paraId="12FEF147" w14:textId="77777777" w:rsidR="00AB5574" w:rsidRPr="00F11E57" w:rsidRDefault="006F79B6" w:rsidP="00641A58">
      <w:pPr>
        <w:pStyle w:val="ListParagraph"/>
        <w:numPr>
          <w:ilvl w:val="0"/>
          <w:numId w:val="12"/>
        </w:numPr>
        <w:tabs>
          <w:tab w:val="left" w:pos="621"/>
        </w:tabs>
        <w:spacing w:before="1" w:line="274" w:lineRule="auto"/>
        <w:ind w:right="719"/>
        <w:rPr>
          <w:lang w:val="en-GB"/>
        </w:rPr>
      </w:pPr>
      <w:r w:rsidRPr="00F11E57">
        <w:rPr>
          <w:b/>
          <w:lang w:val="en-GB"/>
        </w:rPr>
        <w:t xml:space="preserve">Accounts with negative balance. </w:t>
      </w:r>
      <w:r w:rsidRPr="00F11E57">
        <w:rPr>
          <w:lang w:val="en-GB"/>
        </w:rPr>
        <w:t>An account with a balance or value that is negative is deemed to have a balance or value equal to</w:t>
      </w:r>
      <w:r w:rsidRPr="00F11E57">
        <w:rPr>
          <w:spacing w:val="-11"/>
          <w:lang w:val="en-GB"/>
        </w:rPr>
        <w:t xml:space="preserve"> </w:t>
      </w:r>
      <w:r w:rsidRPr="00F11E57">
        <w:rPr>
          <w:lang w:val="en-GB"/>
        </w:rPr>
        <w:t>nil.</w:t>
      </w:r>
    </w:p>
    <w:p w14:paraId="1B6FCCD4" w14:textId="77777777" w:rsidR="00A6142A" w:rsidRPr="00F11E57" w:rsidRDefault="00A6142A" w:rsidP="005557B1">
      <w:pPr>
        <w:pStyle w:val="BodyText"/>
        <w:spacing w:before="1" w:line="274" w:lineRule="auto"/>
        <w:ind w:left="260" w:firstLine="0"/>
        <w:rPr>
          <w:sz w:val="19"/>
          <w:lang w:val="en-GB"/>
        </w:rPr>
      </w:pPr>
    </w:p>
    <w:p w14:paraId="547174E3" w14:textId="77777777" w:rsidR="005557B1" w:rsidRPr="00F11E57" w:rsidRDefault="006F79B6" w:rsidP="005557B1">
      <w:pPr>
        <w:pStyle w:val="BodyText"/>
        <w:spacing w:before="1" w:line="274" w:lineRule="auto"/>
        <w:ind w:left="4045" w:right="4359" w:hanging="1"/>
        <w:jc w:val="center"/>
        <w:rPr>
          <w:lang w:val="en-GB"/>
        </w:rPr>
      </w:pPr>
      <w:r w:rsidRPr="00F11E57">
        <w:rPr>
          <w:lang w:val="en-GB"/>
        </w:rPr>
        <w:t xml:space="preserve">SECTION VIII </w:t>
      </w:r>
    </w:p>
    <w:p w14:paraId="0A752B67" w14:textId="77777777" w:rsidR="005557B1" w:rsidRPr="00F11E57" w:rsidRDefault="005557B1" w:rsidP="005557B1">
      <w:pPr>
        <w:pStyle w:val="BodyText"/>
        <w:spacing w:before="1" w:line="274" w:lineRule="auto"/>
        <w:ind w:left="4045" w:right="4359" w:hanging="1"/>
        <w:jc w:val="both"/>
        <w:rPr>
          <w:lang w:val="en-GB"/>
        </w:rPr>
      </w:pPr>
    </w:p>
    <w:p w14:paraId="5E934EB2" w14:textId="1F9DF964" w:rsidR="00AB5574" w:rsidRPr="00F11E57" w:rsidRDefault="006F79B6" w:rsidP="005557B1">
      <w:pPr>
        <w:pStyle w:val="BodyText"/>
        <w:spacing w:before="1" w:line="274" w:lineRule="auto"/>
        <w:ind w:left="4045" w:right="4359" w:hanging="1"/>
        <w:jc w:val="center"/>
        <w:rPr>
          <w:lang w:val="en-GB"/>
        </w:rPr>
      </w:pPr>
      <w:r w:rsidRPr="00F11E57">
        <w:rPr>
          <w:lang w:val="en-GB"/>
        </w:rPr>
        <w:t>DEFINED TERMS</w:t>
      </w:r>
    </w:p>
    <w:p w14:paraId="4C0EB920" w14:textId="77777777" w:rsidR="005557B1" w:rsidRPr="00F11E57" w:rsidRDefault="005557B1" w:rsidP="005557B1">
      <w:pPr>
        <w:pStyle w:val="BodyText"/>
        <w:spacing w:before="1" w:line="274" w:lineRule="auto"/>
        <w:ind w:left="260" w:firstLine="0"/>
        <w:rPr>
          <w:sz w:val="19"/>
          <w:lang w:val="en-GB"/>
        </w:rPr>
      </w:pPr>
    </w:p>
    <w:p w14:paraId="543EF920" w14:textId="77777777" w:rsidR="00AB5574" w:rsidRPr="00F11E57" w:rsidRDefault="006F79B6" w:rsidP="005557B1">
      <w:pPr>
        <w:pStyle w:val="BodyText"/>
        <w:spacing w:before="1" w:line="274" w:lineRule="auto"/>
        <w:ind w:left="260" w:firstLine="0"/>
        <w:rPr>
          <w:lang w:val="en-GB"/>
        </w:rPr>
      </w:pPr>
      <w:r w:rsidRPr="00F11E57">
        <w:rPr>
          <w:lang w:val="en-GB"/>
        </w:rPr>
        <w:t>The following terms have the meanings set forth below:</w:t>
      </w:r>
    </w:p>
    <w:p w14:paraId="0EE82123" w14:textId="77777777" w:rsidR="00AB5574" w:rsidRPr="00F11E57" w:rsidRDefault="00AB5574" w:rsidP="005557B1">
      <w:pPr>
        <w:pStyle w:val="BodyText"/>
        <w:spacing w:before="1" w:line="274" w:lineRule="auto"/>
        <w:ind w:firstLine="0"/>
        <w:rPr>
          <w:sz w:val="19"/>
          <w:lang w:val="en-GB"/>
        </w:rPr>
      </w:pPr>
    </w:p>
    <w:p w14:paraId="7A4BED64" w14:textId="77777777" w:rsidR="00AB5574" w:rsidRPr="00F11E57" w:rsidRDefault="006F79B6" w:rsidP="00641A58">
      <w:pPr>
        <w:pStyle w:val="ListParagraph"/>
        <w:numPr>
          <w:ilvl w:val="0"/>
          <w:numId w:val="11"/>
        </w:numPr>
        <w:tabs>
          <w:tab w:val="left" w:pos="494"/>
        </w:tabs>
        <w:spacing w:before="1" w:line="274" w:lineRule="auto"/>
        <w:rPr>
          <w:b/>
          <w:lang w:val="en-GB"/>
        </w:rPr>
      </w:pPr>
      <w:r w:rsidRPr="00F11E57">
        <w:rPr>
          <w:b/>
          <w:lang w:val="en-GB"/>
        </w:rPr>
        <w:t>Reporting Financial</w:t>
      </w:r>
      <w:r w:rsidRPr="00F11E57">
        <w:rPr>
          <w:b/>
          <w:spacing w:val="-5"/>
          <w:lang w:val="en-GB"/>
        </w:rPr>
        <w:t xml:space="preserve"> </w:t>
      </w:r>
      <w:r w:rsidRPr="00F11E57">
        <w:rPr>
          <w:b/>
          <w:lang w:val="en-GB"/>
        </w:rPr>
        <w:t>Institution</w:t>
      </w:r>
    </w:p>
    <w:p w14:paraId="7651B82F" w14:textId="77777777" w:rsidR="005557B1" w:rsidRPr="00F11E57" w:rsidRDefault="005557B1" w:rsidP="005557B1">
      <w:pPr>
        <w:pStyle w:val="BodyText"/>
        <w:spacing w:before="1" w:line="274" w:lineRule="auto"/>
        <w:ind w:firstLine="0"/>
        <w:rPr>
          <w:sz w:val="16"/>
          <w:lang w:val="en-GB"/>
        </w:rPr>
      </w:pPr>
    </w:p>
    <w:p w14:paraId="7EFF9A1E" w14:textId="27824EF3" w:rsidR="00AB5574" w:rsidRPr="00F11E57" w:rsidRDefault="006F79B6" w:rsidP="00641A58">
      <w:pPr>
        <w:pStyle w:val="ListParagraph"/>
        <w:numPr>
          <w:ilvl w:val="0"/>
          <w:numId w:val="10"/>
        </w:numPr>
        <w:tabs>
          <w:tab w:val="left" w:pos="621"/>
        </w:tabs>
        <w:spacing w:before="1" w:line="274" w:lineRule="auto"/>
        <w:ind w:right="678"/>
        <w:rPr>
          <w:lang w:val="en-GB"/>
        </w:rPr>
      </w:pPr>
      <w:r w:rsidRPr="00F11E57">
        <w:rPr>
          <w:lang w:val="en-GB"/>
        </w:rPr>
        <w:t>The term “</w:t>
      </w:r>
      <w:r w:rsidRPr="00F11E57">
        <w:rPr>
          <w:b/>
          <w:lang w:val="en-GB"/>
        </w:rPr>
        <w:t>Reporting Financial Institution</w:t>
      </w:r>
      <w:r w:rsidRPr="00F11E57">
        <w:rPr>
          <w:lang w:val="en-GB"/>
        </w:rPr>
        <w:t>” means any [Jurisdiction] Financial Institution that is not a Non-Reporting Financial Institution. The term “</w:t>
      </w:r>
      <w:r w:rsidR="0005162B" w:rsidRPr="00F11E57">
        <w:rPr>
          <w:b/>
          <w:bCs/>
          <w:lang w:val="en-GB"/>
        </w:rPr>
        <w:t>[</w:t>
      </w:r>
      <w:r w:rsidRPr="00F11E57">
        <w:rPr>
          <w:b/>
          <w:bCs/>
          <w:lang w:val="en-GB"/>
        </w:rPr>
        <w:t>Jurisdiction</w:t>
      </w:r>
      <w:r w:rsidR="0005162B" w:rsidRPr="00F11E57">
        <w:rPr>
          <w:b/>
          <w:bCs/>
          <w:lang w:val="en-GB"/>
        </w:rPr>
        <w:t>]</w:t>
      </w:r>
      <w:r w:rsidRPr="00F11E57">
        <w:rPr>
          <w:b/>
          <w:bCs/>
          <w:lang w:val="en-GB"/>
        </w:rPr>
        <w:t xml:space="preserve"> Financial Institution</w:t>
      </w:r>
      <w:r w:rsidRPr="00F11E57">
        <w:rPr>
          <w:lang w:val="en-GB"/>
        </w:rPr>
        <w:t xml:space="preserve">” means: (i) any Financial Institution that </w:t>
      </w:r>
      <w:r w:rsidRPr="00F11E57">
        <w:rPr>
          <w:lang w:val="en-GB"/>
        </w:rPr>
        <w:lastRenderedPageBreak/>
        <w:t>is resident in [jurisdiction], but excludes any branch of that Financial Institution that is located outside of [jurisdiction]; and (ii) any branch of a Financial Institution that is not resident in</w:t>
      </w:r>
      <w:r w:rsidR="005B49BC" w:rsidRPr="00F11E57">
        <w:rPr>
          <w:lang w:val="en-GB"/>
        </w:rPr>
        <w:t xml:space="preserve"> </w:t>
      </w:r>
      <w:r w:rsidRPr="00F11E57">
        <w:rPr>
          <w:lang w:val="en-GB"/>
        </w:rPr>
        <w:t>[jurisdiction], if that branch is located in</w:t>
      </w:r>
      <w:r w:rsidR="005B49BC" w:rsidRPr="00F11E57">
        <w:rPr>
          <w:lang w:val="en-GB"/>
        </w:rPr>
        <w:t xml:space="preserve"> </w:t>
      </w:r>
      <w:r w:rsidRPr="00F11E57">
        <w:rPr>
          <w:lang w:val="en-GB"/>
        </w:rPr>
        <w:t>[jurisdiction].</w:t>
      </w:r>
    </w:p>
    <w:p w14:paraId="2EC86A6F" w14:textId="77777777" w:rsidR="00AB5574" w:rsidRPr="00F11E57" w:rsidRDefault="006F79B6" w:rsidP="00641A58">
      <w:pPr>
        <w:pStyle w:val="ListParagraph"/>
        <w:numPr>
          <w:ilvl w:val="0"/>
          <w:numId w:val="10"/>
        </w:numPr>
        <w:tabs>
          <w:tab w:val="left" w:pos="621"/>
        </w:tabs>
        <w:spacing w:before="1" w:line="274" w:lineRule="auto"/>
        <w:ind w:right="581"/>
        <w:rPr>
          <w:lang w:val="en-GB"/>
        </w:rPr>
      </w:pPr>
      <w:r w:rsidRPr="00F11E57">
        <w:rPr>
          <w:lang w:val="en-GB"/>
        </w:rPr>
        <w:t>The term “</w:t>
      </w:r>
      <w:r w:rsidRPr="00F11E57">
        <w:rPr>
          <w:b/>
          <w:lang w:val="en-GB"/>
        </w:rPr>
        <w:t>Participating Jurisdiction Financial Institution</w:t>
      </w:r>
      <w:r w:rsidRPr="00F11E57">
        <w:rPr>
          <w:lang w:val="en-GB"/>
        </w:rPr>
        <w:t>” means (i) any Financial Institution that is resident in a Participating Jurisdiction, but excludes any branch of that Financial Institution that is located outside such Participating Jurisdiction; and (ii) any branch of a Financial Institution that is not resident in a Participating Jurisdiction, if that branch is located in such Participating Jurisdiction.</w:t>
      </w:r>
    </w:p>
    <w:p w14:paraId="59A7EFC7" w14:textId="77777777" w:rsidR="00AB5574" w:rsidRPr="00F11E57" w:rsidRDefault="006F79B6" w:rsidP="00641A58">
      <w:pPr>
        <w:pStyle w:val="ListParagraph"/>
        <w:numPr>
          <w:ilvl w:val="0"/>
          <w:numId w:val="10"/>
        </w:numPr>
        <w:tabs>
          <w:tab w:val="left" w:pos="621"/>
        </w:tabs>
        <w:spacing w:before="1" w:line="274" w:lineRule="auto"/>
        <w:ind w:right="1182"/>
        <w:rPr>
          <w:lang w:val="en-GB"/>
        </w:rPr>
      </w:pPr>
      <w:r w:rsidRPr="00F11E57">
        <w:rPr>
          <w:lang w:val="en-GB"/>
        </w:rPr>
        <w:t>The term “</w:t>
      </w:r>
      <w:r w:rsidRPr="00F11E57">
        <w:rPr>
          <w:b/>
          <w:lang w:val="en-GB"/>
        </w:rPr>
        <w:t>Financial Institution</w:t>
      </w:r>
      <w:r w:rsidRPr="00F11E57">
        <w:rPr>
          <w:lang w:val="en-GB"/>
        </w:rPr>
        <w:t>” means a Custodial Institution, a Depository Institution, an Investment Entity, or a Specified Insurance</w:t>
      </w:r>
      <w:r w:rsidRPr="00F11E57">
        <w:rPr>
          <w:spacing w:val="-7"/>
          <w:lang w:val="en-GB"/>
        </w:rPr>
        <w:t xml:space="preserve"> </w:t>
      </w:r>
      <w:r w:rsidRPr="00F11E57">
        <w:rPr>
          <w:lang w:val="en-GB"/>
        </w:rPr>
        <w:t>Company.</w:t>
      </w:r>
    </w:p>
    <w:p w14:paraId="1AA67BC3" w14:textId="77777777" w:rsidR="00AB5574" w:rsidRPr="00F11E57" w:rsidRDefault="006F79B6" w:rsidP="00641A58">
      <w:pPr>
        <w:pStyle w:val="ListParagraph"/>
        <w:numPr>
          <w:ilvl w:val="0"/>
          <w:numId w:val="10"/>
        </w:numPr>
        <w:tabs>
          <w:tab w:val="left" w:pos="621"/>
        </w:tabs>
        <w:spacing w:before="1" w:line="274" w:lineRule="auto"/>
        <w:ind w:right="660"/>
        <w:rPr>
          <w:lang w:val="en-GB"/>
        </w:rPr>
      </w:pPr>
      <w:r w:rsidRPr="00F11E57">
        <w:rPr>
          <w:lang w:val="en-GB"/>
        </w:rPr>
        <w:t>The term “</w:t>
      </w:r>
      <w:r w:rsidRPr="00F11E57">
        <w:rPr>
          <w:b/>
          <w:lang w:val="en-GB"/>
        </w:rPr>
        <w:t>Custodial Institution</w:t>
      </w:r>
      <w:r w:rsidRPr="00F11E57">
        <w:rPr>
          <w:lang w:val="en-GB"/>
        </w:rPr>
        <w:t>” means any Entity that holds, as a substantial portion of its business, Financial Assets for the account of others. An Entity holds Financial Assets for the account of others as a substantial portion of its business if the Entity's gross income attributable to the holding of Financial Assets and related financial services equals or exceeds 20% of the Entity's gross income during the shorter of: (i) the three-year period that ends on 31 December prior to the year in which the determination is being made; or (ii) the period during which the Entity has been in</w:t>
      </w:r>
      <w:r w:rsidRPr="00F11E57">
        <w:rPr>
          <w:spacing w:val="-8"/>
          <w:lang w:val="en-GB"/>
        </w:rPr>
        <w:t xml:space="preserve"> </w:t>
      </w:r>
      <w:r w:rsidRPr="00F11E57">
        <w:rPr>
          <w:lang w:val="en-GB"/>
        </w:rPr>
        <w:t>existence.</w:t>
      </w:r>
    </w:p>
    <w:p w14:paraId="7FE6B2D7" w14:textId="77777777" w:rsidR="00AB5574" w:rsidRPr="00F11E57" w:rsidRDefault="006F79B6" w:rsidP="00641A58">
      <w:pPr>
        <w:pStyle w:val="ListParagraph"/>
        <w:numPr>
          <w:ilvl w:val="0"/>
          <w:numId w:val="10"/>
        </w:numPr>
        <w:tabs>
          <w:tab w:val="left" w:pos="621"/>
        </w:tabs>
        <w:spacing w:before="1" w:line="274" w:lineRule="auto"/>
        <w:ind w:right="633"/>
        <w:rPr>
          <w:lang w:val="en-GB"/>
        </w:rPr>
      </w:pPr>
      <w:r w:rsidRPr="00F11E57">
        <w:rPr>
          <w:lang w:val="en-GB"/>
        </w:rPr>
        <w:t>The term “</w:t>
      </w:r>
      <w:r w:rsidRPr="00F11E57">
        <w:rPr>
          <w:b/>
          <w:lang w:val="en-GB"/>
        </w:rPr>
        <w:t>Depository Institution</w:t>
      </w:r>
      <w:r w:rsidRPr="00F11E57">
        <w:rPr>
          <w:lang w:val="en-GB"/>
        </w:rPr>
        <w:t>” means any Entity that accepts deposits in the ordinary course of a banking or similar</w:t>
      </w:r>
      <w:r w:rsidRPr="00F11E57">
        <w:rPr>
          <w:spacing w:val="-4"/>
          <w:lang w:val="en-GB"/>
        </w:rPr>
        <w:t xml:space="preserve"> </w:t>
      </w:r>
      <w:r w:rsidRPr="00F11E57">
        <w:rPr>
          <w:lang w:val="en-GB"/>
        </w:rPr>
        <w:t>business.</w:t>
      </w:r>
    </w:p>
    <w:p w14:paraId="5067DB7D" w14:textId="77777777" w:rsidR="00AB5574" w:rsidRPr="00F11E57" w:rsidRDefault="006F79B6" w:rsidP="00641A58">
      <w:pPr>
        <w:pStyle w:val="ListParagraph"/>
        <w:numPr>
          <w:ilvl w:val="0"/>
          <w:numId w:val="10"/>
        </w:numPr>
        <w:tabs>
          <w:tab w:val="left" w:pos="621"/>
        </w:tabs>
        <w:spacing w:before="1" w:line="274" w:lineRule="auto"/>
        <w:rPr>
          <w:lang w:val="en-GB"/>
        </w:rPr>
      </w:pPr>
      <w:r w:rsidRPr="00F11E57">
        <w:rPr>
          <w:lang w:val="en-GB"/>
        </w:rPr>
        <w:t>The term “</w:t>
      </w:r>
      <w:r w:rsidRPr="00F11E57">
        <w:rPr>
          <w:b/>
          <w:lang w:val="en-GB"/>
        </w:rPr>
        <w:t>Investment Entity</w:t>
      </w:r>
      <w:r w:rsidRPr="00F11E57">
        <w:rPr>
          <w:lang w:val="en-GB"/>
        </w:rPr>
        <w:t>” means any</w:t>
      </w:r>
      <w:r w:rsidRPr="00F11E57">
        <w:rPr>
          <w:spacing w:val="-6"/>
          <w:lang w:val="en-GB"/>
        </w:rPr>
        <w:t xml:space="preserve"> </w:t>
      </w:r>
      <w:r w:rsidRPr="00F11E57">
        <w:rPr>
          <w:lang w:val="en-GB"/>
        </w:rPr>
        <w:t>Entity:</w:t>
      </w:r>
    </w:p>
    <w:p w14:paraId="3B5C2E24" w14:textId="77777777" w:rsidR="00AB5574" w:rsidRPr="00F11E57" w:rsidRDefault="006F79B6" w:rsidP="00641A58">
      <w:pPr>
        <w:pStyle w:val="ListParagraph"/>
        <w:numPr>
          <w:ilvl w:val="1"/>
          <w:numId w:val="10"/>
        </w:numPr>
        <w:tabs>
          <w:tab w:val="left" w:pos="981"/>
        </w:tabs>
        <w:spacing w:before="1" w:line="274" w:lineRule="auto"/>
        <w:ind w:right="873"/>
        <w:rPr>
          <w:lang w:val="en-GB"/>
        </w:rPr>
      </w:pPr>
      <w:r w:rsidRPr="00F11E57">
        <w:rPr>
          <w:lang w:val="en-GB"/>
        </w:rPr>
        <w:t>that primarily conducts as a business one or more of the following activities or operations for or on behalf of a</w:t>
      </w:r>
      <w:r w:rsidRPr="00F11E57">
        <w:rPr>
          <w:spacing w:val="-11"/>
          <w:lang w:val="en-GB"/>
        </w:rPr>
        <w:t xml:space="preserve"> </w:t>
      </w:r>
      <w:r w:rsidRPr="00F11E57">
        <w:rPr>
          <w:lang w:val="en-GB"/>
        </w:rPr>
        <w:t>customer:</w:t>
      </w:r>
    </w:p>
    <w:p w14:paraId="5A62EBD9" w14:textId="77777777" w:rsidR="00AB5574" w:rsidRPr="00F11E57" w:rsidRDefault="006F79B6" w:rsidP="00641A58">
      <w:pPr>
        <w:pStyle w:val="ListParagraph"/>
        <w:numPr>
          <w:ilvl w:val="2"/>
          <w:numId w:val="10"/>
        </w:numPr>
        <w:tabs>
          <w:tab w:val="left" w:pos="1341"/>
        </w:tabs>
        <w:spacing w:before="1" w:line="274" w:lineRule="auto"/>
        <w:ind w:right="683"/>
        <w:rPr>
          <w:lang w:val="en-GB"/>
        </w:rPr>
      </w:pPr>
      <w:r w:rsidRPr="00F11E57">
        <w:rPr>
          <w:lang w:val="en-GB"/>
        </w:rPr>
        <w:t>trading in money market instruments (cheques, bills, certificates of deposit, derivatives, etc.); foreign exchange; exchange, interest rate and index instruments; transferable securities; or commodity futures</w:t>
      </w:r>
      <w:r w:rsidRPr="00F11E57">
        <w:rPr>
          <w:spacing w:val="-3"/>
          <w:lang w:val="en-GB"/>
        </w:rPr>
        <w:t xml:space="preserve"> </w:t>
      </w:r>
      <w:r w:rsidRPr="00F11E57">
        <w:rPr>
          <w:lang w:val="en-GB"/>
        </w:rPr>
        <w:t>trading;</w:t>
      </w:r>
    </w:p>
    <w:p w14:paraId="1FFEDCB2" w14:textId="77777777" w:rsidR="00AB5574" w:rsidRPr="00F11E57" w:rsidRDefault="006F79B6" w:rsidP="00641A58">
      <w:pPr>
        <w:pStyle w:val="ListParagraph"/>
        <w:numPr>
          <w:ilvl w:val="2"/>
          <w:numId w:val="10"/>
        </w:numPr>
        <w:tabs>
          <w:tab w:val="left" w:pos="1341"/>
        </w:tabs>
        <w:spacing w:before="1" w:line="274" w:lineRule="auto"/>
        <w:rPr>
          <w:lang w:val="en-GB"/>
        </w:rPr>
      </w:pPr>
      <w:r w:rsidRPr="00F11E57">
        <w:rPr>
          <w:lang w:val="en-GB"/>
        </w:rPr>
        <w:t>individual and collective portfolio management;</w:t>
      </w:r>
      <w:r w:rsidRPr="00F11E57">
        <w:rPr>
          <w:spacing w:val="-4"/>
          <w:lang w:val="en-GB"/>
        </w:rPr>
        <w:t xml:space="preserve"> </w:t>
      </w:r>
      <w:r w:rsidRPr="00F11E57">
        <w:rPr>
          <w:lang w:val="en-GB"/>
        </w:rPr>
        <w:t>or</w:t>
      </w:r>
    </w:p>
    <w:p w14:paraId="0F654B9E" w14:textId="77777777" w:rsidR="00AB5574" w:rsidRPr="00F11E57" w:rsidRDefault="006F79B6" w:rsidP="00641A58">
      <w:pPr>
        <w:pStyle w:val="ListParagraph"/>
        <w:numPr>
          <w:ilvl w:val="2"/>
          <w:numId w:val="10"/>
        </w:numPr>
        <w:tabs>
          <w:tab w:val="left" w:pos="1341"/>
        </w:tabs>
        <w:spacing w:before="1" w:line="274" w:lineRule="auto"/>
        <w:ind w:right="724"/>
        <w:rPr>
          <w:lang w:val="en-GB"/>
        </w:rPr>
      </w:pPr>
      <w:r w:rsidRPr="00F11E57">
        <w:rPr>
          <w:lang w:val="en-GB"/>
        </w:rPr>
        <w:t>otherwise investing, administering, or managing Financial Assets or money on behalf of other persons;</w:t>
      </w:r>
      <w:r w:rsidRPr="00F11E57">
        <w:rPr>
          <w:spacing w:val="-2"/>
          <w:lang w:val="en-GB"/>
        </w:rPr>
        <w:t xml:space="preserve"> </w:t>
      </w:r>
      <w:r w:rsidRPr="00F11E57">
        <w:rPr>
          <w:lang w:val="en-GB"/>
        </w:rPr>
        <w:t>or</w:t>
      </w:r>
    </w:p>
    <w:p w14:paraId="3C12B3A8" w14:textId="77777777" w:rsidR="00AB5574" w:rsidRPr="00F11E57" w:rsidRDefault="006F79B6" w:rsidP="00641A58">
      <w:pPr>
        <w:pStyle w:val="ListParagraph"/>
        <w:numPr>
          <w:ilvl w:val="1"/>
          <w:numId w:val="10"/>
        </w:numPr>
        <w:tabs>
          <w:tab w:val="left" w:pos="981"/>
        </w:tabs>
        <w:spacing w:before="1" w:line="274" w:lineRule="auto"/>
        <w:ind w:right="699"/>
        <w:rPr>
          <w:lang w:val="en-GB"/>
        </w:rPr>
      </w:pPr>
      <w:r w:rsidRPr="00F11E57">
        <w:rPr>
          <w:lang w:val="en-GB"/>
        </w:rPr>
        <w:t>the gross income of which is primarily attributable to investing, reinvesting, or trading in Financial Assets, if the Entity is managed by another Entity that is a Depository Institution, a Custodial Institution, a Specified Insurance Company, or an Investment Entity described in subparagraph</w:t>
      </w:r>
      <w:r w:rsidRPr="00F11E57">
        <w:rPr>
          <w:spacing w:val="-2"/>
          <w:lang w:val="en-GB"/>
        </w:rPr>
        <w:t xml:space="preserve"> </w:t>
      </w:r>
      <w:r w:rsidRPr="00F11E57">
        <w:rPr>
          <w:lang w:val="en-GB"/>
        </w:rPr>
        <w:t>A(6)(a).</w:t>
      </w:r>
    </w:p>
    <w:p w14:paraId="2465F243" w14:textId="77777777" w:rsidR="00136E94" w:rsidRPr="00F11E57" w:rsidRDefault="00136E94" w:rsidP="00136E94">
      <w:pPr>
        <w:pStyle w:val="BodyText"/>
        <w:spacing w:before="1" w:line="274" w:lineRule="auto"/>
        <w:ind w:firstLine="0"/>
        <w:rPr>
          <w:sz w:val="16"/>
          <w:lang w:val="en-GB"/>
        </w:rPr>
      </w:pPr>
    </w:p>
    <w:p w14:paraId="348303E8" w14:textId="18DCBC05" w:rsidR="00AB5574" w:rsidRPr="00F11E57" w:rsidRDefault="006F79B6" w:rsidP="00DA7C1A">
      <w:pPr>
        <w:pStyle w:val="BodyText"/>
        <w:spacing w:before="1" w:line="274" w:lineRule="auto"/>
        <w:ind w:left="620" w:right="603" w:firstLine="0"/>
        <w:jc w:val="both"/>
        <w:rPr>
          <w:lang w:val="en-GB"/>
        </w:rPr>
      </w:pPr>
      <w:r w:rsidRPr="00F11E57">
        <w:rPr>
          <w:lang w:val="en-GB"/>
        </w:rPr>
        <w:t xml:space="preserve">An Entity is treated as primarily conducting as a business one or more of the activities described in subparagraph A(6)(a), or an Entity's gross income is primarily attributable to investing, reinvesting, or trading in Financial Assets for </w:t>
      </w:r>
      <w:r w:rsidRPr="00F11E57">
        <w:rPr>
          <w:lang w:val="en-GB"/>
        </w:rPr>
        <w:lastRenderedPageBreak/>
        <w:t>the purposes of subparagraph A(6)(b), if the Entity's gross income attributable to the relevant activities equals or exceeds 50% of the Entity's gross income during the shorter of: (i) the three-year period ending on 31 December of the year preceding the year in which the determination is made; or (ii) the period during which the Entity has been in existence. The term Investment Entity does not include an Entity that is an Active NFE because that Entity meets any of the criteria in subparagraphs D(9)(d) through</w:t>
      </w:r>
      <w:r w:rsidRPr="00F11E57">
        <w:rPr>
          <w:spacing w:val="-4"/>
          <w:lang w:val="en-GB"/>
        </w:rPr>
        <w:t xml:space="preserve"> </w:t>
      </w:r>
      <w:r w:rsidRPr="00F11E57">
        <w:rPr>
          <w:lang w:val="en-GB"/>
        </w:rPr>
        <w:t>(g).</w:t>
      </w:r>
    </w:p>
    <w:p w14:paraId="760BB4B3" w14:textId="77777777" w:rsidR="00136E94" w:rsidRPr="00F11E57" w:rsidRDefault="00136E94" w:rsidP="00136E94">
      <w:pPr>
        <w:pStyle w:val="BodyText"/>
        <w:spacing w:before="1" w:line="274" w:lineRule="auto"/>
        <w:ind w:firstLine="0"/>
        <w:rPr>
          <w:sz w:val="16"/>
          <w:lang w:val="en-GB"/>
        </w:rPr>
      </w:pPr>
    </w:p>
    <w:p w14:paraId="3BC41082" w14:textId="77777777" w:rsidR="00AB5574" w:rsidRPr="00F11E57" w:rsidRDefault="006F79B6" w:rsidP="00DA7C1A">
      <w:pPr>
        <w:pStyle w:val="BodyText"/>
        <w:spacing w:before="1" w:line="274" w:lineRule="auto"/>
        <w:ind w:left="620" w:right="1031" w:firstLine="0"/>
        <w:rPr>
          <w:lang w:val="en-GB"/>
        </w:rPr>
      </w:pPr>
      <w:r w:rsidRPr="00F11E57">
        <w:rPr>
          <w:lang w:val="en-GB"/>
        </w:rPr>
        <w:t>This paragraph shall be interpreted in a manner consistent with similar language set forth in the definition of “financial institution” in the Financial Action Task Force Recommendations.</w:t>
      </w:r>
    </w:p>
    <w:p w14:paraId="21BD134B" w14:textId="77777777" w:rsidR="00136E94" w:rsidRPr="00F11E57" w:rsidRDefault="00136E94" w:rsidP="00136E94">
      <w:pPr>
        <w:pStyle w:val="BodyText"/>
        <w:spacing w:before="1" w:line="274" w:lineRule="auto"/>
        <w:ind w:firstLine="0"/>
        <w:rPr>
          <w:sz w:val="16"/>
          <w:lang w:val="en-GB"/>
        </w:rPr>
      </w:pPr>
    </w:p>
    <w:p w14:paraId="5BB776AE" w14:textId="5773D491" w:rsidR="00AB5574" w:rsidRPr="00F11E57" w:rsidRDefault="006F79B6" w:rsidP="00641A58">
      <w:pPr>
        <w:pStyle w:val="ListParagraph"/>
        <w:numPr>
          <w:ilvl w:val="0"/>
          <w:numId w:val="10"/>
        </w:numPr>
        <w:tabs>
          <w:tab w:val="left" w:pos="621"/>
        </w:tabs>
        <w:spacing w:before="1" w:line="274" w:lineRule="auto"/>
        <w:ind w:right="805"/>
        <w:rPr>
          <w:lang w:val="en-GB"/>
        </w:rPr>
      </w:pPr>
      <w:r w:rsidRPr="00F11E57">
        <w:rPr>
          <w:lang w:val="en-GB"/>
        </w:rPr>
        <w:t>The term “</w:t>
      </w:r>
      <w:r w:rsidRPr="00F11E57">
        <w:rPr>
          <w:b/>
          <w:lang w:val="en-GB"/>
        </w:rPr>
        <w:t>Financial Asset</w:t>
      </w:r>
      <w:r w:rsidRPr="00F11E57">
        <w:rPr>
          <w:lang w:val="en-GB"/>
        </w:rPr>
        <w:t xml:space="preserve">” </w:t>
      </w:r>
      <w:r w:rsidR="00F512E9" w:rsidRPr="00F11E57">
        <w:rPr>
          <w:lang w:val="en-GB"/>
        </w:rPr>
        <w:t>includes</w:t>
      </w:r>
      <w:r w:rsidRPr="00F11E57">
        <w:rPr>
          <w:lang w:val="en-GB"/>
        </w:rPr>
        <w:t xml:space="preserve"> a security (for example, a share of stock in a corporation; partnership or beneficial ownership interest in a widely held or publicly traded partnership or trust; note, bond, debenture, or other evidence of indebtedness), partnership interest, commodity, swap (for example, interest rate swaps, currency swaps, basis swaps, interest rate caps, interest rate floors, commodity swaps, equity swaps, equity index swaps, and similar agreements), Insurance Contract or Annuity Contract, or any interest (including a futures or forward contract or option) in a security, partnership interest, commodity, swap, Insurance Contract, or Annuity Contract. The term “Financial Asset” does not include a non-debt, direct interest in real</w:t>
      </w:r>
      <w:r w:rsidRPr="00F11E57">
        <w:rPr>
          <w:spacing w:val="-3"/>
          <w:lang w:val="en-GB"/>
        </w:rPr>
        <w:t xml:space="preserve"> </w:t>
      </w:r>
      <w:r w:rsidRPr="00F11E57">
        <w:rPr>
          <w:lang w:val="en-GB"/>
        </w:rPr>
        <w:t>property.</w:t>
      </w:r>
    </w:p>
    <w:p w14:paraId="2850CE0D" w14:textId="77777777" w:rsidR="00AB5574" w:rsidRPr="00F11E57" w:rsidRDefault="006F79B6" w:rsidP="00641A58">
      <w:pPr>
        <w:pStyle w:val="ListParagraph"/>
        <w:numPr>
          <w:ilvl w:val="0"/>
          <w:numId w:val="10"/>
        </w:numPr>
        <w:tabs>
          <w:tab w:val="left" w:pos="621"/>
        </w:tabs>
        <w:spacing w:before="1" w:line="274" w:lineRule="auto"/>
        <w:ind w:right="604"/>
        <w:jc w:val="both"/>
        <w:rPr>
          <w:lang w:val="en-GB"/>
        </w:rPr>
      </w:pPr>
      <w:r w:rsidRPr="00F11E57">
        <w:rPr>
          <w:lang w:val="en-GB"/>
        </w:rPr>
        <w:t>The term “</w:t>
      </w:r>
      <w:r w:rsidRPr="00F11E57">
        <w:rPr>
          <w:b/>
          <w:lang w:val="en-GB"/>
        </w:rPr>
        <w:t>Specified Insurance Company</w:t>
      </w:r>
      <w:r w:rsidRPr="00F11E57">
        <w:rPr>
          <w:lang w:val="en-GB"/>
        </w:rPr>
        <w:t>” means any Entity that is an insurance company (or the holding company of an insurance company) which issues, or is obligated to make payments with respect to, a Cash Value Insurance Contract or an Annuity</w:t>
      </w:r>
      <w:r w:rsidRPr="00F11E57">
        <w:rPr>
          <w:spacing w:val="-8"/>
          <w:lang w:val="en-GB"/>
        </w:rPr>
        <w:t xml:space="preserve"> </w:t>
      </w:r>
      <w:r w:rsidRPr="00F11E57">
        <w:rPr>
          <w:lang w:val="en-GB"/>
        </w:rPr>
        <w:t>Contract.</w:t>
      </w:r>
    </w:p>
    <w:p w14:paraId="151AA18C" w14:textId="77777777" w:rsidR="00136E94" w:rsidRPr="00F11E57" w:rsidRDefault="00136E94" w:rsidP="00136E94">
      <w:pPr>
        <w:pStyle w:val="BodyText"/>
        <w:spacing w:before="1" w:line="274" w:lineRule="auto"/>
        <w:ind w:firstLine="0"/>
        <w:rPr>
          <w:sz w:val="16"/>
          <w:lang w:val="en-GB"/>
        </w:rPr>
      </w:pPr>
    </w:p>
    <w:p w14:paraId="3EFD7E39" w14:textId="77777777" w:rsidR="00AB5574" w:rsidRPr="00F11E57" w:rsidRDefault="006F79B6" w:rsidP="00641A58">
      <w:pPr>
        <w:pStyle w:val="ListParagraph"/>
        <w:numPr>
          <w:ilvl w:val="0"/>
          <w:numId w:val="11"/>
        </w:numPr>
        <w:tabs>
          <w:tab w:val="left" w:pos="487"/>
        </w:tabs>
        <w:spacing w:before="1" w:line="274" w:lineRule="auto"/>
        <w:ind w:left="486" w:hanging="226"/>
        <w:rPr>
          <w:b/>
          <w:lang w:val="en-GB"/>
        </w:rPr>
      </w:pPr>
      <w:r w:rsidRPr="00F11E57">
        <w:rPr>
          <w:b/>
          <w:lang w:val="en-GB"/>
        </w:rPr>
        <w:t>Non-Reporting Financial</w:t>
      </w:r>
      <w:r w:rsidRPr="00F11E57">
        <w:rPr>
          <w:b/>
          <w:spacing w:val="-3"/>
          <w:lang w:val="en-GB"/>
        </w:rPr>
        <w:t xml:space="preserve"> </w:t>
      </w:r>
      <w:r w:rsidRPr="00F11E57">
        <w:rPr>
          <w:b/>
          <w:lang w:val="en-GB"/>
        </w:rPr>
        <w:t>Institution</w:t>
      </w:r>
    </w:p>
    <w:p w14:paraId="39B42A5D" w14:textId="77777777" w:rsidR="00136E94" w:rsidRPr="00F11E57" w:rsidRDefault="00136E94" w:rsidP="00136E94">
      <w:pPr>
        <w:pStyle w:val="BodyText"/>
        <w:spacing w:before="1" w:line="274" w:lineRule="auto"/>
        <w:ind w:firstLine="0"/>
        <w:rPr>
          <w:sz w:val="16"/>
          <w:lang w:val="en-GB"/>
        </w:rPr>
      </w:pPr>
    </w:p>
    <w:p w14:paraId="3A06E2F7" w14:textId="77777777" w:rsidR="00AB5574" w:rsidRPr="00F11E57" w:rsidRDefault="006F79B6" w:rsidP="00641A58">
      <w:pPr>
        <w:pStyle w:val="ListParagraph"/>
        <w:numPr>
          <w:ilvl w:val="0"/>
          <w:numId w:val="9"/>
        </w:numPr>
        <w:tabs>
          <w:tab w:val="left" w:pos="621"/>
        </w:tabs>
        <w:spacing w:before="1" w:line="274" w:lineRule="auto"/>
        <w:rPr>
          <w:lang w:val="en-GB"/>
        </w:rPr>
      </w:pPr>
      <w:r w:rsidRPr="00F11E57">
        <w:rPr>
          <w:lang w:val="en-GB"/>
        </w:rPr>
        <w:t>The term “</w:t>
      </w:r>
      <w:r w:rsidRPr="00F11E57">
        <w:rPr>
          <w:b/>
          <w:lang w:val="en-GB"/>
        </w:rPr>
        <w:t>Non-Reporting Financial Institution</w:t>
      </w:r>
      <w:r w:rsidRPr="00F11E57">
        <w:rPr>
          <w:lang w:val="en-GB"/>
        </w:rPr>
        <w:t>” means any Financial Institution that</w:t>
      </w:r>
      <w:r w:rsidRPr="00F11E57">
        <w:rPr>
          <w:spacing w:val="-15"/>
          <w:lang w:val="en-GB"/>
        </w:rPr>
        <w:t xml:space="preserve"> </w:t>
      </w:r>
      <w:r w:rsidRPr="00F11E57">
        <w:rPr>
          <w:lang w:val="en-GB"/>
        </w:rPr>
        <w:t>is:</w:t>
      </w:r>
    </w:p>
    <w:p w14:paraId="353DF612" w14:textId="77777777" w:rsidR="00AB5574" w:rsidRPr="00F11E57" w:rsidRDefault="006F79B6" w:rsidP="00641A58">
      <w:pPr>
        <w:pStyle w:val="ListParagraph"/>
        <w:numPr>
          <w:ilvl w:val="1"/>
          <w:numId w:val="9"/>
        </w:numPr>
        <w:tabs>
          <w:tab w:val="left" w:pos="981"/>
        </w:tabs>
        <w:spacing w:before="1" w:line="274" w:lineRule="auto"/>
        <w:ind w:right="760"/>
        <w:rPr>
          <w:lang w:val="en-GB"/>
        </w:rPr>
      </w:pPr>
      <w:r w:rsidRPr="00F11E57">
        <w:rPr>
          <w:lang w:val="en-GB"/>
        </w:rPr>
        <w:t>a Governmental Entity, International Organisation or Central Bank, other than with respect to a payment that is derived from an obligation held in connection with a commercial financial activity of a type engaged in by a Specified Insurance Company, Custodial Institution, or Depository</w:t>
      </w:r>
      <w:r w:rsidRPr="00F11E57">
        <w:rPr>
          <w:spacing w:val="-7"/>
          <w:lang w:val="en-GB"/>
        </w:rPr>
        <w:t xml:space="preserve"> </w:t>
      </w:r>
      <w:r w:rsidRPr="00F11E57">
        <w:rPr>
          <w:lang w:val="en-GB"/>
        </w:rPr>
        <w:t>Institution;</w:t>
      </w:r>
    </w:p>
    <w:p w14:paraId="2515F04D" w14:textId="77777777" w:rsidR="00AB5574" w:rsidRPr="00F11E57" w:rsidRDefault="006F79B6" w:rsidP="00641A58">
      <w:pPr>
        <w:pStyle w:val="ListParagraph"/>
        <w:numPr>
          <w:ilvl w:val="1"/>
          <w:numId w:val="9"/>
        </w:numPr>
        <w:tabs>
          <w:tab w:val="left" w:pos="981"/>
        </w:tabs>
        <w:spacing w:before="1" w:line="274" w:lineRule="auto"/>
        <w:ind w:right="782"/>
        <w:rPr>
          <w:lang w:val="en-GB"/>
        </w:rPr>
      </w:pPr>
      <w:r w:rsidRPr="00F11E57">
        <w:rPr>
          <w:lang w:val="en-GB"/>
        </w:rPr>
        <w:t>a Broad Participation Retirement Fund; a Narrow Participation Retirement Fund; a Pension Fund of a Governmental Entity, International Organisation or Central Bank; or a Qualified Credit Card</w:t>
      </w:r>
      <w:r w:rsidRPr="00F11E57">
        <w:rPr>
          <w:spacing w:val="-3"/>
          <w:lang w:val="en-GB"/>
        </w:rPr>
        <w:t xml:space="preserve"> </w:t>
      </w:r>
      <w:r w:rsidRPr="00F11E57">
        <w:rPr>
          <w:lang w:val="en-GB"/>
        </w:rPr>
        <w:t>Issuer;</w:t>
      </w:r>
    </w:p>
    <w:p w14:paraId="55B072B1" w14:textId="77777777" w:rsidR="00AB5574" w:rsidRPr="00F11E57" w:rsidRDefault="006F79B6" w:rsidP="00641A58">
      <w:pPr>
        <w:pStyle w:val="ListParagraph"/>
        <w:numPr>
          <w:ilvl w:val="1"/>
          <w:numId w:val="9"/>
        </w:numPr>
        <w:tabs>
          <w:tab w:val="left" w:pos="981"/>
        </w:tabs>
        <w:spacing w:before="1" w:line="274" w:lineRule="auto"/>
        <w:ind w:right="678"/>
        <w:rPr>
          <w:lang w:val="en-GB"/>
        </w:rPr>
      </w:pPr>
      <w:r w:rsidRPr="00F11E57">
        <w:rPr>
          <w:lang w:val="en-GB"/>
        </w:rPr>
        <w:t xml:space="preserve">any other Entity that presents a low risk of being used to evade tax, has substantially similar characteristics to any of the Entities described in </w:t>
      </w:r>
      <w:r w:rsidRPr="00F11E57">
        <w:rPr>
          <w:lang w:val="en-GB"/>
        </w:rPr>
        <w:lastRenderedPageBreak/>
        <w:t>subparagraphs B(1)(a) and (b), and is included in the list of Non-Reporting Financial Institutions referred to in Annex 1 of these Regulations, provided that the status of such Entity as a Non-Reporting Financial Institution does not frustrate the purposes of these</w:t>
      </w:r>
      <w:r w:rsidRPr="00F11E57">
        <w:rPr>
          <w:spacing w:val="-6"/>
          <w:lang w:val="en-GB"/>
        </w:rPr>
        <w:t xml:space="preserve"> </w:t>
      </w:r>
      <w:r w:rsidRPr="00F11E57">
        <w:rPr>
          <w:lang w:val="en-GB"/>
        </w:rPr>
        <w:t>Regulations;</w:t>
      </w:r>
    </w:p>
    <w:p w14:paraId="6D2CDD65" w14:textId="77777777" w:rsidR="00AB5574" w:rsidRPr="00F11E57" w:rsidRDefault="006F79B6" w:rsidP="00641A58">
      <w:pPr>
        <w:pStyle w:val="ListParagraph"/>
        <w:numPr>
          <w:ilvl w:val="1"/>
          <w:numId w:val="9"/>
        </w:numPr>
        <w:tabs>
          <w:tab w:val="left" w:pos="981"/>
        </w:tabs>
        <w:spacing w:before="1" w:line="274" w:lineRule="auto"/>
        <w:rPr>
          <w:lang w:val="en-GB"/>
        </w:rPr>
      </w:pPr>
      <w:r w:rsidRPr="00F11E57">
        <w:rPr>
          <w:lang w:val="en-GB"/>
        </w:rPr>
        <w:t>an Exempt Collective Investment Vehicle;</w:t>
      </w:r>
      <w:r w:rsidRPr="00F11E57">
        <w:rPr>
          <w:spacing w:val="-2"/>
          <w:lang w:val="en-GB"/>
        </w:rPr>
        <w:t xml:space="preserve"> </w:t>
      </w:r>
      <w:r w:rsidRPr="00F11E57">
        <w:rPr>
          <w:lang w:val="en-GB"/>
        </w:rPr>
        <w:t>or</w:t>
      </w:r>
    </w:p>
    <w:p w14:paraId="6D365783" w14:textId="77777777" w:rsidR="00AB5574" w:rsidRPr="00F11E57" w:rsidRDefault="006F79B6" w:rsidP="00641A58">
      <w:pPr>
        <w:pStyle w:val="ListParagraph"/>
        <w:numPr>
          <w:ilvl w:val="1"/>
          <w:numId w:val="9"/>
        </w:numPr>
        <w:tabs>
          <w:tab w:val="left" w:pos="981"/>
        </w:tabs>
        <w:spacing w:before="1" w:line="274" w:lineRule="auto"/>
        <w:ind w:right="1096"/>
        <w:jc w:val="both"/>
        <w:rPr>
          <w:lang w:val="en-GB"/>
        </w:rPr>
      </w:pPr>
      <w:r w:rsidRPr="00F11E57">
        <w:rPr>
          <w:lang w:val="en-GB"/>
        </w:rPr>
        <w:t>a trust to the extent that the trustee of the trust is a Reporting Financial Institution and reports all information required to be reported pursuant to Section I with respect to all Reportable Accounts of the</w:t>
      </w:r>
      <w:r w:rsidRPr="00F11E57">
        <w:rPr>
          <w:spacing w:val="-7"/>
          <w:lang w:val="en-GB"/>
        </w:rPr>
        <w:t xml:space="preserve"> </w:t>
      </w:r>
      <w:r w:rsidRPr="00F11E57">
        <w:rPr>
          <w:lang w:val="en-GB"/>
        </w:rPr>
        <w:t>trust.</w:t>
      </w:r>
    </w:p>
    <w:p w14:paraId="58C8251D" w14:textId="77777777" w:rsidR="00AB5574" w:rsidRPr="00F11E57" w:rsidRDefault="006F79B6" w:rsidP="00641A58">
      <w:pPr>
        <w:pStyle w:val="ListParagraph"/>
        <w:numPr>
          <w:ilvl w:val="0"/>
          <w:numId w:val="9"/>
        </w:numPr>
        <w:tabs>
          <w:tab w:val="left" w:pos="621"/>
        </w:tabs>
        <w:spacing w:before="1" w:line="274" w:lineRule="auto"/>
        <w:ind w:right="660"/>
        <w:rPr>
          <w:lang w:val="en-GB"/>
        </w:rPr>
      </w:pPr>
      <w:r w:rsidRPr="00F11E57">
        <w:rPr>
          <w:lang w:val="en-GB"/>
        </w:rPr>
        <w:t>The term “</w:t>
      </w:r>
      <w:r w:rsidRPr="00F11E57">
        <w:rPr>
          <w:b/>
          <w:lang w:val="en-GB"/>
        </w:rPr>
        <w:t>Governmental Entity</w:t>
      </w:r>
      <w:r w:rsidRPr="00F11E57">
        <w:rPr>
          <w:lang w:val="en-GB"/>
        </w:rPr>
        <w:t>” means the government of a jurisdiction, any political subdivision of a jurisdiction (which, for the avoidance of doubt, includes a state, province, county, or municipality), or any wholly owned agency or instrumentality of a jurisdiction or of any one or more of the foregoing (each, a “Governmental Entity”). This category is comprised of the integral parts, controlled entities, and political subdivisions of a</w:t>
      </w:r>
      <w:r w:rsidRPr="00F11E57">
        <w:rPr>
          <w:spacing w:val="-14"/>
          <w:lang w:val="en-GB"/>
        </w:rPr>
        <w:t xml:space="preserve"> </w:t>
      </w:r>
      <w:r w:rsidRPr="00F11E57">
        <w:rPr>
          <w:lang w:val="en-GB"/>
        </w:rPr>
        <w:t>jurisdiction.</w:t>
      </w:r>
    </w:p>
    <w:p w14:paraId="1144B25D" w14:textId="77777777" w:rsidR="00AB5574" w:rsidRPr="00F11E57" w:rsidRDefault="006F79B6" w:rsidP="00641A58">
      <w:pPr>
        <w:pStyle w:val="ListParagraph"/>
        <w:numPr>
          <w:ilvl w:val="1"/>
          <w:numId w:val="9"/>
        </w:numPr>
        <w:tabs>
          <w:tab w:val="left" w:pos="981"/>
        </w:tabs>
        <w:spacing w:before="1" w:line="274" w:lineRule="auto"/>
        <w:ind w:right="611"/>
        <w:rPr>
          <w:lang w:val="en-GB"/>
        </w:rPr>
      </w:pPr>
      <w:r w:rsidRPr="00F11E57">
        <w:rPr>
          <w:lang w:val="en-GB"/>
        </w:rPr>
        <w:t>An “integral part” of a jurisdiction means any person, organisation, agency, bureau, fund, instrumentality, or other body, however designated, that constitutes a governing authority of a jurisdiction. The net earnings of the governing authority must be credited to its own account or to other accounts of the jurisdiction, with no portion inuring to the benefit of any private person. An integral part does not include any individual who is a sovereign, official, or administrator acting in a private or personal</w:t>
      </w:r>
      <w:r w:rsidRPr="00F11E57">
        <w:rPr>
          <w:spacing w:val="-11"/>
          <w:lang w:val="en-GB"/>
        </w:rPr>
        <w:t xml:space="preserve"> </w:t>
      </w:r>
      <w:r w:rsidRPr="00F11E57">
        <w:rPr>
          <w:lang w:val="en-GB"/>
        </w:rPr>
        <w:t>capacity.</w:t>
      </w:r>
    </w:p>
    <w:p w14:paraId="137B51AF" w14:textId="77777777" w:rsidR="00AB5574" w:rsidRPr="00F11E57" w:rsidRDefault="006F79B6" w:rsidP="00641A58">
      <w:pPr>
        <w:pStyle w:val="ListParagraph"/>
        <w:numPr>
          <w:ilvl w:val="1"/>
          <w:numId w:val="9"/>
        </w:numPr>
        <w:tabs>
          <w:tab w:val="left" w:pos="981"/>
        </w:tabs>
        <w:spacing w:before="1" w:line="274" w:lineRule="auto"/>
        <w:ind w:right="706"/>
        <w:rPr>
          <w:lang w:val="en-GB"/>
        </w:rPr>
      </w:pPr>
      <w:r w:rsidRPr="00F11E57">
        <w:rPr>
          <w:lang w:val="en-GB"/>
        </w:rPr>
        <w:t>A “controlled entity” means an Entity which is separate in form from the jurisdiction or that otherwise constitutes a separate juridical entity, provided</w:t>
      </w:r>
      <w:r w:rsidRPr="00F11E57">
        <w:rPr>
          <w:spacing w:val="-5"/>
          <w:lang w:val="en-GB"/>
        </w:rPr>
        <w:t xml:space="preserve"> </w:t>
      </w:r>
      <w:r w:rsidRPr="00F11E57">
        <w:rPr>
          <w:lang w:val="en-GB"/>
        </w:rPr>
        <w:t>that:</w:t>
      </w:r>
    </w:p>
    <w:p w14:paraId="07E61508" w14:textId="77777777" w:rsidR="00AB5574" w:rsidRPr="00F11E57" w:rsidRDefault="006F79B6" w:rsidP="00641A58">
      <w:pPr>
        <w:pStyle w:val="ListParagraph"/>
        <w:numPr>
          <w:ilvl w:val="2"/>
          <w:numId w:val="9"/>
        </w:numPr>
        <w:tabs>
          <w:tab w:val="left" w:pos="1341"/>
        </w:tabs>
        <w:spacing w:before="1" w:line="274" w:lineRule="auto"/>
        <w:ind w:right="614"/>
        <w:rPr>
          <w:lang w:val="en-GB"/>
        </w:rPr>
      </w:pPr>
      <w:r w:rsidRPr="00F11E57">
        <w:rPr>
          <w:lang w:val="en-GB"/>
        </w:rPr>
        <w:t>the Entity is wholly owned and controlled by one or more Governmental Entities directly or through one or more controlled</w:t>
      </w:r>
      <w:r w:rsidRPr="00F11E57">
        <w:rPr>
          <w:spacing w:val="-8"/>
          <w:lang w:val="en-GB"/>
        </w:rPr>
        <w:t xml:space="preserve"> </w:t>
      </w:r>
      <w:r w:rsidRPr="00F11E57">
        <w:rPr>
          <w:lang w:val="en-GB"/>
        </w:rPr>
        <w:t>entities;</w:t>
      </w:r>
    </w:p>
    <w:p w14:paraId="20C191E0" w14:textId="77777777" w:rsidR="00AB5574" w:rsidRPr="00F11E57" w:rsidRDefault="006F79B6" w:rsidP="00641A58">
      <w:pPr>
        <w:pStyle w:val="ListParagraph"/>
        <w:numPr>
          <w:ilvl w:val="2"/>
          <w:numId w:val="9"/>
        </w:numPr>
        <w:tabs>
          <w:tab w:val="left" w:pos="1341"/>
        </w:tabs>
        <w:spacing w:before="1" w:line="274" w:lineRule="auto"/>
        <w:ind w:right="731"/>
        <w:rPr>
          <w:lang w:val="en-GB"/>
        </w:rPr>
      </w:pPr>
      <w:r w:rsidRPr="00F11E57">
        <w:rPr>
          <w:lang w:val="en-GB"/>
        </w:rPr>
        <w:t>the Entity's net earnings are credited to its own account or to the accounts of one or more Governmental Entities, with no portion of its income inuring to the benefit of any private person; and</w:t>
      </w:r>
    </w:p>
    <w:p w14:paraId="3D05FA2B" w14:textId="77777777" w:rsidR="00AB5574" w:rsidRPr="00F11E57" w:rsidRDefault="006F79B6" w:rsidP="00641A58">
      <w:pPr>
        <w:pStyle w:val="ListParagraph"/>
        <w:numPr>
          <w:ilvl w:val="2"/>
          <w:numId w:val="9"/>
        </w:numPr>
        <w:tabs>
          <w:tab w:val="left" w:pos="1341"/>
        </w:tabs>
        <w:spacing w:before="1" w:line="274" w:lineRule="auto"/>
        <w:rPr>
          <w:lang w:val="en-GB"/>
        </w:rPr>
      </w:pPr>
      <w:r w:rsidRPr="00F11E57">
        <w:rPr>
          <w:lang w:val="en-GB"/>
        </w:rPr>
        <w:t>the Entity's assets vest in one or more Governmental Entities upon</w:t>
      </w:r>
      <w:r w:rsidRPr="00F11E57">
        <w:rPr>
          <w:spacing w:val="-15"/>
          <w:lang w:val="en-GB"/>
        </w:rPr>
        <w:t xml:space="preserve"> </w:t>
      </w:r>
      <w:r w:rsidRPr="00F11E57">
        <w:rPr>
          <w:lang w:val="en-GB"/>
        </w:rPr>
        <w:t>dissolution.</w:t>
      </w:r>
    </w:p>
    <w:p w14:paraId="295B1B84" w14:textId="77777777" w:rsidR="00AB5574" w:rsidRPr="00F11E57" w:rsidRDefault="006F79B6" w:rsidP="00641A58">
      <w:pPr>
        <w:pStyle w:val="ListParagraph"/>
        <w:numPr>
          <w:ilvl w:val="1"/>
          <w:numId w:val="9"/>
        </w:numPr>
        <w:tabs>
          <w:tab w:val="left" w:pos="981"/>
        </w:tabs>
        <w:spacing w:before="1" w:line="274" w:lineRule="auto"/>
        <w:ind w:right="648"/>
        <w:rPr>
          <w:lang w:val="en-GB"/>
        </w:rPr>
      </w:pPr>
      <w:r w:rsidRPr="00F11E57">
        <w:rPr>
          <w:lang w:val="en-GB"/>
        </w:rPr>
        <w:t xml:space="preserve">Income does not inure to the benefit of private persons if such persons are the intended beneficiaries of a governmental programme, and the programme activities are performed for the general public with respect to the common welfare or relate to the administration of some phase of government. Notwithstanding the foregoing, however, income is considered to inure to the benefit of private persons if the income is derived from the use of a Governmental Entity to conduct a commercial business, such as a commercial banking business, that provides financial </w:t>
      </w:r>
      <w:r w:rsidRPr="00F11E57">
        <w:rPr>
          <w:lang w:val="en-GB"/>
        </w:rPr>
        <w:lastRenderedPageBreak/>
        <w:t>services to private</w:t>
      </w:r>
      <w:r w:rsidRPr="00F11E57">
        <w:rPr>
          <w:spacing w:val="-5"/>
          <w:lang w:val="en-GB"/>
        </w:rPr>
        <w:t xml:space="preserve"> </w:t>
      </w:r>
      <w:r w:rsidRPr="00F11E57">
        <w:rPr>
          <w:lang w:val="en-GB"/>
        </w:rPr>
        <w:t>persons.</w:t>
      </w:r>
    </w:p>
    <w:p w14:paraId="273B4CE7" w14:textId="77777777" w:rsidR="00AB5574" w:rsidRPr="00F11E57" w:rsidRDefault="006F79B6" w:rsidP="00641A58">
      <w:pPr>
        <w:pStyle w:val="ListParagraph"/>
        <w:numPr>
          <w:ilvl w:val="0"/>
          <w:numId w:val="9"/>
        </w:numPr>
        <w:tabs>
          <w:tab w:val="left" w:pos="621"/>
        </w:tabs>
        <w:spacing w:before="1" w:line="274" w:lineRule="auto"/>
        <w:ind w:right="674"/>
        <w:rPr>
          <w:lang w:val="en-GB"/>
        </w:rPr>
      </w:pPr>
      <w:r w:rsidRPr="00F11E57">
        <w:rPr>
          <w:lang w:val="en-GB"/>
        </w:rPr>
        <w:t>The term “</w:t>
      </w:r>
      <w:r w:rsidRPr="00F11E57">
        <w:rPr>
          <w:b/>
          <w:lang w:val="en-GB"/>
        </w:rPr>
        <w:t>International Organisation</w:t>
      </w:r>
      <w:r w:rsidRPr="00F11E57">
        <w:rPr>
          <w:lang w:val="en-GB"/>
        </w:rPr>
        <w:t>” means any international organisation or wholly owned agency or instrumentality thereof. This category includes any intergovernmental organisation (including a supranational organisation) (i) that is comprised primarily of governments; (ii) that has in effect a headquarters or substantially similar agreement with the jurisdiction; and (iii) the income of which does not inure to the benefit of private</w:t>
      </w:r>
      <w:r w:rsidRPr="00F11E57">
        <w:rPr>
          <w:spacing w:val="-9"/>
          <w:lang w:val="en-GB"/>
        </w:rPr>
        <w:t xml:space="preserve"> </w:t>
      </w:r>
      <w:r w:rsidRPr="00F11E57">
        <w:rPr>
          <w:lang w:val="en-GB"/>
        </w:rPr>
        <w:t>persons.</w:t>
      </w:r>
    </w:p>
    <w:p w14:paraId="29020B5E" w14:textId="77777777" w:rsidR="00AB5574" w:rsidRPr="00F11E57" w:rsidRDefault="006F79B6" w:rsidP="00641A58">
      <w:pPr>
        <w:pStyle w:val="ListParagraph"/>
        <w:numPr>
          <w:ilvl w:val="0"/>
          <w:numId w:val="9"/>
        </w:numPr>
        <w:tabs>
          <w:tab w:val="left" w:pos="621"/>
        </w:tabs>
        <w:spacing w:before="1" w:line="274" w:lineRule="auto"/>
        <w:ind w:right="770"/>
        <w:rPr>
          <w:lang w:val="en-GB"/>
        </w:rPr>
      </w:pPr>
      <w:r w:rsidRPr="00F11E57">
        <w:rPr>
          <w:lang w:val="en-GB"/>
        </w:rPr>
        <w:t>The term “</w:t>
      </w:r>
      <w:r w:rsidRPr="00F11E57">
        <w:rPr>
          <w:b/>
          <w:lang w:val="en-GB"/>
        </w:rPr>
        <w:t>Central Bank</w:t>
      </w:r>
      <w:r w:rsidRPr="00F11E57">
        <w:rPr>
          <w:lang w:val="en-GB"/>
        </w:rPr>
        <w:t>” means an institution that is by law or government sanction the principal authority, other than the government of the jurisdiction itself, issuing instruments intended to circulate as currency. Such an institution may include an instrumentality that is separate from the government of the jurisdiction, whether or not owned in whole or in part by the jurisdiction.</w:t>
      </w:r>
    </w:p>
    <w:p w14:paraId="4E7AD9A2" w14:textId="77777777" w:rsidR="00AB5574" w:rsidRPr="00F11E57" w:rsidRDefault="006F79B6" w:rsidP="00641A58">
      <w:pPr>
        <w:pStyle w:val="ListParagraph"/>
        <w:numPr>
          <w:ilvl w:val="0"/>
          <w:numId w:val="9"/>
        </w:numPr>
        <w:tabs>
          <w:tab w:val="left" w:pos="621"/>
        </w:tabs>
        <w:spacing w:before="1" w:line="274" w:lineRule="auto"/>
        <w:ind w:right="898"/>
        <w:rPr>
          <w:lang w:val="en-GB"/>
        </w:rPr>
      </w:pPr>
      <w:r w:rsidRPr="00F11E57">
        <w:rPr>
          <w:lang w:val="en-GB"/>
        </w:rPr>
        <w:t>The term “</w:t>
      </w:r>
      <w:r w:rsidRPr="00F11E57">
        <w:rPr>
          <w:b/>
          <w:lang w:val="en-GB"/>
        </w:rPr>
        <w:t>Broad Participation Retirement Fund</w:t>
      </w:r>
      <w:r w:rsidRPr="00F11E57">
        <w:rPr>
          <w:lang w:val="en-GB"/>
        </w:rPr>
        <w:t>” means a fund established to provide retirement, disability, or death benefits, or any combination thereof, to beneficiaries who are current or former employees (or persons designated by such employees) of one or more employers in consideration for services rendered, provided that the</w:t>
      </w:r>
      <w:r w:rsidRPr="00F11E57">
        <w:rPr>
          <w:spacing w:val="-12"/>
          <w:lang w:val="en-GB"/>
        </w:rPr>
        <w:t xml:space="preserve"> </w:t>
      </w:r>
      <w:r w:rsidRPr="00F11E57">
        <w:rPr>
          <w:lang w:val="en-GB"/>
        </w:rPr>
        <w:t>fund:</w:t>
      </w:r>
    </w:p>
    <w:p w14:paraId="59FBF670" w14:textId="77777777" w:rsidR="00AB5574" w:rsidRPr="00F11E57" w:rsidRDefault="006F79B6" w:rsidP="00641A58">
      <w:pPr>
        <w:pStyle w:val="ListParagraph"/>
        <w:numPr>
          <w:ilvl w:val="1"/>
          <w:numId w:val="9"/>
        </w:numPr>
        <w:tabs>
          <w:tab w:val="left" w:pos="981"/>
        </w:tabs>
        <w:spacing w:before="1" w:line="274" w:lineRule="auto"/>
        <w:rPr>
          <w:lang w:val="en-GB"/>
        </w:rPr>
      </w:pPr>
      <w:r w:rsidRPr="00F11E57">
        <w:rPr>
          <w:lang w:val="en-GB"/>
        </w:rPr>
        <w:t>does not have a single beneficiary with a right to more than 5% of the fund's</w:t>
      </w:r>
      <w:r w:rsidRPr="00F11E57">
        <w:rPr>
          <w:spacing w:val="-14"/>
          <w:lang w:val="en-GB"/>
        </w:rPr>
        <w:t xml:space="preserve"> </w:t>
      </w:r>
      <w:r w:rsidRPr="00F11E57">
        <w:rPr>
          <w:lang w:val="en-GB"/>
        </w:rPr>
        <w:t>assets;</w:t>
      </w:r>
    </w:p>
    <w:p w14:paraId="322A17AE" w14:textId="77777777" w:rsidR="00AB5574" w:rsidRPr="00F11E57" w:rsidRDefault="006F79B6" w:rsidP="00641A58">
      <w:pPr>
        <w:pStyle w:val="ListParagraph"/>
        <w:numPr>
          <w:ilvl w:val="1"/>
          <w:numId w:val="9"/>
        </w:numPr>
        <w:tabs>
          <w:tab w:val="left" w:pos="981"/>
        </w:tabs>
        <w:spacing w:before="1" w:line="274" w:lineRule="auto"/>
        <w:ind w:right="1581"/>
        <w:rPr>
          <w:lang w:val="en-GB"/>
        </w:rPr>
      </w:pPr>
      <w:r w:rsidRPr="00F11E57">
        <w:rPr>
          <w:lang w:val="en-GB"/>
        </w:rPr>
        <w:t>is subject to government regulation and provides information reporting to the tax authorities; and</w:t>
      </w:r>
    </w:p>
    <w:p w14:paraId="13DB44C2" w14:textId="77777777" w:rsidR="00AB5574" w:rsidRPr="00F11E57" w:rsidRDefault="006F79B6" w:rsidP="00641A58">
      <w:pPr>
        <w:pStyle w:val="ListParagraph"/>
        <w:numPr>
          <w:ilvl w:val="1"/>
          <w:numId w:val="9"/>
        </w:numPr>
        <w:tabs>
          <w:tab w:val="left" w:pos="981"/>
        </w:tabs>
        <w:spacing w:before="1" w:line="274" w:lineRule="auto"/>
        <w:rPr>
          <w:lang w:val="en-GB"/>
        </w:rPr>
      </w:pPr>
      <w:r w:rsidRPr="00F11E57">
        <w:rPr>
          <w:lang w:val="en-GB"/>
        </w:rPr>
        <w:t>satisfies at least one of the following</w:t>
      </w:r>
      <w:r w:rsidRPr="00F11E57">
        <w:rPr>
          <w:spacing w:val="-13"/>
          <w:lang w:val="en-GB"/>
        </w:rPr>
        <w:t xml:space="preserve"> </w:t>
      </w:r>
      <w:r w:rsidRPr="00F11E57">
        <w:rPr>
          <w:lang w:val="en-GB"/>
        </w:rPr>
        <w:t>requirements:</w:t>
      </w:r>
    </w:p>
    <w:p w14:paraId="5DE97215" w14:textId="77777777" w:rsidR="00AB5574" w:rsidRPr="00F11E57" w:rsidRDefault="006F79B6" w:rsidP="00641A58">
      <w:pPr>
        <w:pStyle w:val="ListParagraph"/>
        <w:numPr>
          <w:ilvl w:val="2"/>
          <w:numId w:val="9"/>
        </w:numPr>
        <w:tabs>
          <w:tab w:val="left" w:pos="1341"/>
        </w:tabs>
        <w:spacing w:before="1" w:line="274" w:lineRule="auto"/>
        <w:ind w:right="629"/>
        <w:rPr>
          <w:lang w:val="en-GB"/>
        </w:rPr>
      </w:pPr>
      <w:r w:rsidRPr="00F11E57">
        <w:rPr>
          <w:lang w:val="en-GB"/>
        </w:rPr>
        <w:t>the fund is generally exempt from tax on investment income, or taxation of such income is deferred or taxed at a reduced rate, due to its status as a retirement or pension</w:t>
      </w:r>
      <w:r w:rsidRPr="00F11E57">
        <w:rPr>
          <w:spacing w:val="-28"/>
          <w:lang w:val="en-GB"/>
        </w:rPr>
        <w:t xml:space="preserve"> </w:t>
      </w:r>
      <w:r w:rsidRPr="00F11E57">
        <w:rPr>
          <w:lang w:val="en-GB"/>
        </w:rPr>
        <w:t>plan;</w:t>
      </w:r>
    </w:p>
    <w:p w14:paraId="5FCA84E4" w14:textId="77777777" w:rsidR="00AB5574" w:rsidRPr="00F11E57" w:rsidRDefault="006F79B6" w:rsidP="00641A58">
      <w:pPr>
        <w:pStyle w:val="ListParagraph"/>
        <w:numPr>
          <w:ilvl w:val="2"/>
          <w:numId w:val="9"/>
        </w:numPr>
        <w:tabs>
          <w:tab w:val="left" w:pos="1341"/>
        </w:tabs>
        <w:spacing w:before="1" w:line="274" w:lineRule="auto"/>
        <w:ind w:right="797"/>
        <w:jc w:val="both"/>
        <w:rPr>
          <w:lang w:val="en-GB"/>
        </w:rPr>
      </w:pPr>
      <w:r w:rsidRPr="00F11E57">
        <w:rPr>
          <w:lang w:val="en-GB"/>
        </w:rPr>
        <w:t>the fund receives at least 50% of its total contributions (other than transfers of assets from other plans described in subparagraphs B(5) through (7) or from retirement and pension accounts described in subparagraph C(17)(a)) from the sponsoring</w:t>
      </w:r>
      <w:r w:rsidRPr="00F11E57">
        <w:rPr>
          <w:spacing w:val="-28"/>
          <w:lang w:val="en-GB"/>
        </w:rPr>
        <w:t xml:space="preserve"> </w:t>
      </w:r>
      <w:r w:rsidRPr="00F11E57">
        <w:rPr>
          <w:lang w:val="en-GB"/>
        </w:rPr>
        <w:t>employers;</w:t>
      </w:r>
    </w:p>
    <w:p w14:paraId="775902EE" w14:textId="77777777" w:rsidR="00AB5574" w:rsidRPr="00F11E57" w:rsidRDefault="006F79B6" w:rsidP="00641A58">
      <w:pPr>
        <w:pStyle w:val="ListParagraph"/>
        <w:numPr>
          <w:ilvl w:val="2"/>
          <w:numId w:val="9"/>
        </w:numPr>
        <w:tabs>
          <w:tab w:val="left" w:pos="1341"/>
        </w:tabs>
        <w:spacing w:before="1" w:line="274" w:lineRule="auto"/>
        <w:ind w:right="587"/>
        <w:rPr>
          <w:lang w:val="en-GB"/>
        </w:rPr>
      </w:pPr>
      <w:r w:rsidRPr="00F11E57">
        <w:rPr>
          <w:lang w:val="en-GB"/>
        </w:rPr>
        <w:t>distributions or withdrawals from the fund are allowed only upon the occurrence of specified events related to retirement, disability, or death (except rollover distributions to other retirement funds described in subparagraphs B(5) through (7) or retirement and pension accounts described in subparagraph C(17)(a)), or penalties apply to distributions or withdrawals made before such specified events;</w:t>
      </w:r>
      <w:r w:rsidRPr="00F11E57">
        <w:rPr>
          <w:spacing w:val="-4"/>
          <w:lang w:val="en-GB"/>
        </w:rPr>
        <w:t xml:space="preserve"> </w:t>
      </w:r>
      <w:r w:rsidRPr="00F11E57">
        <w:rPr>
          <w:lang w:val="en-GB"/>
        </w:rPr>
        <w:t>or</w:t>
      </w:r>
    </w:p>
    <w:p w14:paraId="2CD25814" w14:textId="0E01DE3A" w:rsidR="00AB5574" w:rsidRPr="00F11E57" w:rsidRDefault="006F79B6" w:rsidP="00641A58">
      <w:pPr>
        <w:pStyle w:val="ListParagraph"/>
        <w:numPr>
          <w:ilvl w:val="2"/>
          <w:numId w:val="9"/>
        </w:numPr>
        <w:tabs>
          <w:tab w:val="left" w:pos="1341"/>
        </w:tabs>
        <w:spacing w:before="1" w:line="274" w:lineRule="auto"/>
        <w:ind w:right="602"/>
        <w:rPr>
          <w:lang w:val="en-GB"/>
        </w:rPr>
      </w:pPr>
      <w:r w:rsidRPr="00F11E57">
        <w:rPr>
          <w:lang w:val="en-GB"/>
        </w:rPr>
        <w:t xml:space="preserve">contributions (other than certain permitted make-up contributions) by employees to the fund are limited by reference to earned income of the employee or may not exceed USD 50 000 annually, applying </w:t>
      </w:r>
      <w:r w:rsidRPr="00F11E57">
        <w:rPr>
          <w:lang w:val="en-GB"/>
        </w:rPr>
        <w:lastRenderedPageBreak/>
        <w:t>th</w:t>
      </w:r>
      <w:r w:rsidR="00D66786" w:rsidRPr="00F11E57">
        <w:rPr>
          <w:lang w:val="en-GB"/>
        </w:rPr>
        <w:t>e rules set forth in paragraph D</w:t>
      </w:r>
      <w:r w:rsidRPr="00F11E57">
        <w:rPr>
          <w:lang w:val="en-GB"/>
        </w:rPr>
        <w:t xml:space="preserve"> of Section VII for account aggregation and currency</w:t>
      </w:r>
      <w:r w:rsidRPr="00F11E57">
        <w:rPr>
          <w:spacing w:val="-5"/>
          <w:lang w:val="en-GB"/>
        </w:rPr>
        <w:t xml:space="preserve"> </w:t>
      </w:r>
      <w:r w:rsidRPr="00F11E57">
        <w:rPr>
          <w:lang w:val="en-GB"/>
        </w:rPr>
        <w:t>translation.</w:t>
      </w:r>
    </w:p>
    <w:p w14:paraId="69FA7A96" w14:textId="77777777" w:rsidR="00AB5574" w:rsidRPr="00F11E57" w:rsidRDefault="006F79B6" w:rsidP="00641A58">
      <w:pPr>
        <w:pStyle w:val="ListParagraph"/>
        <w:numPr>
          <w:ilvl w:val="0"/>
          <w:numId w:val="9"/>
        </w:numPr>
        <w:tabs>
          <w:tab w:val="left" w:pos="621"/>
        </w:tabs>
        <w:spacing w:before="1" w:line="274" w:lineRule="auto"/>
        <w:ind w:right="869"/>
        <w:rPr>
          <w:lang w:val="en-GB"/>
        </w:rPr>
      </w:pPr>
      <w:r w:rsidRPr="00F11E57">
        <w:rPr>
          <w:lang w:val="en-GB"/>
        </w:rPr>
        <w:t>The term “</w:t>
      </w:r>
      <w:r w:rsidRPr="00F11E57">
        <w:rPr>
          <w:b/>
          <w:lang w:val="en-GB"/>
        </w:rPr>
        <w:t>Narrow Participation Retirement Fund</w:t>
      </w:r>
      <w:r w:rsidRPr="00F11E57">
        <w:rPr>
          <w:lang w:val="en-GB"/>
        </w:rPr>
        <w:t>” means a fund established to provide retirement, disability, or death benefits to beneficiaries who are current or former employees (or persons designated by such employees) of one or more employers in consideration for services rendered, provided</w:t>
      </w:r>
      <w:r w:rsidRPr="00F11E57">
        <w:rPr>
          <w:spacing w:val="-1"/>
          <w:lang w:val="en-GB"/>
        </w:rPr>
        <w:t xml:space="preserve"> </w:t>
      </w:r>
      <w:r w:rsidRPr="00F11E57">
        <w:rPr>
          <w:lang w:val="en-GB"/>
        </w:rPr>
        <w:t>that:</w:t>
      </w:r>
    </w:p>
    <w:p w14:paraId="493DCABF" w14:textId="77777777" w:rsidR="00AB5574" w:rsidRPr="00F11E57" w:rsidRDefault="006F79B6" w:rsidP="00641A58">
      <w:pPr>
        <w:pStyle w:val="ListParagraph"/>
        <w:numPr>
          <w:ilvl w:val="1"/>
          <w:numId w:val="9"/>
        </w:numPr>
        <w:tabs>
          <w:tab w:val="left" w:pos="981"/>
        </w:tabs>
        <w:spacing w:before="1" w:line="274" w:lineRule="auto"/>
        <w:rPr>
          <w:lang w:val="en-GB"/>
        </w:rPr>
      </w:pPr>
      <w:r w:rsidRPr="00F11E57">
        <w:rPr>
          <w:lang w:val="en-GB"/>
        </w:rPr>
        <w:t>the fund has fewer than 50</w:t>
      </w:r>
      <w:r w:rsidRPr="00F11E57">
        <w:rPr>
          <w:spacing w:val="-8"/>
          <w:lang w:val="en-GB"/>
        </w:rPr>
        <w:t xml:space="preserve"> </w:t>
      </w:r>
      <w:r w:rsidRPr="00F11E57">
        <w:rPr>
          <w:lang w:val="en-GB"/>
        </w:rPr>
        <w:t>participants;</w:t>
      </w:r>
    </w:p>
    <w:p w14:paraId="6297DDB2" w14:textId="77777777" w:rsidR="00AB5574" w:rsidRPr="00F11E57" w:rsidRDefault="006F79B6" w:rsidP="00641A58">
      <w:pPr>
        <w:pStyle w:val="ListParagraph"/>
        <w:numPr>
          <w:ilvl w:val="1"/>
          <w:numId w:val="9"/>
        </w:numPr>
        <w:tabs>
          <w:tab w:val="left" w:pos="981"/>
        </w:tabs>
        <w:spacing w:before="1" w:line="274" w:lineRule="auto"/>
        <w:ind w:right="694"/>
        <w:rPr>
          <w:lang w:val="en-GB"/>
        </w:rPr>
      </w:pPr>
      <w:r w:rsidRPr="00F11E57">
        <w:rPr>
          <w:lang w:val="en-GB"/>
        </w:rPr>
        <w:t>the fund is sponsored by one or more employers that are not Investment Entities or Passive NFEs;</w:t>
      </w:r>
    </w:p>
    <w:p w14:paraId="7720ED79" w14:textId="77777777" w:rsidR="00AB5574" w:rsidRPr="00F11E57" w:rsidRDefault="006F79B6" w:rsidP="00641A58">
      <w:pPr>
        <w:pStyle w:val="ListParagraph"/>
        <w:numPr>
          <w:ilvl w:val="1"/>
          <w:numId w:val="9"/>
        </w:numPr>
        <w:tabs>
          <w:tab w:val="left" w:pos="981"/>
        </w:tabs>
        <w:spacing w:before="1" w:line="274" w:lineRule="auto"/>
        <w:ind w:right="832"/>
        <w:rPr>
          <w:lang w:val="en-GB"/>
        </w:rPr>
      </w:pPr>
      <w:r w:rsidRPr="00F11E57">
        <w:rPr>
          <w:lang w:val="en-GB"/>
        </w:rPr>
        <w:t>the employee and employer contributions to the fund (other than transfers of assets from retirement and pension accounts described in subparagraph C(17)(a)) are limited by reference to earned income and compensation of the employee,</w:t>
      </w:r>
      <w:r w:rsidRPr="00F11E57">
        <w:rPr>
          <w:spacing w:val="-9"/>
          <w:lang w:val="en-GB"/>
        </w:rPr>
        <w:t xml:space="preserve"> </w:t>
      </w:r>
      <w:r w:rsidRPr="00F11E57">
        <w:rPr>
          <w:lang w:val="en-GB"/>
        </w:rPr>
        <w:t>respectively;</w:t>
      </w:r>
    </w:p>
    <w:p w14:paraId="454325CE" w14:textId="77777777" w:rsidR="00AB5574" w:rsidRPr="00F11E57" w:rsidRDefault="006F79B6" w:rsidP="00641A58">
      <w:pPr>
        <w:pStyle w:val="ListParagraph"/>
        <w:numPr>
          <w:ilvl w:val="1"/>
          <w:numId w:val="9"/>
        </w:numPr>
        <w:tabs>
          <w:tab w:val="left" w:pos="981"/>
        </w:tabs>
        <w:spacing w:before="1" w:line="274" w:lineRule="auto"/>
        <w:ind w:right="648"/>
        <w:rPr>
          <w:lang w:val="en-GB"/>
        </w:rPr>
      </w:pPr>
      <w:r w:rsidRPr="00F11E57">
        <w:rPr>
          <w:lang w:val="en-GB"/>
        </w:rPr>
        <w:t>participants that are not residents of the jurisdiction in which the fund is established are not entitled to more than 20 % of the fund's assets;</w:t>
      </w:r>
      <w:r w:rsidRPr="00F11E57">
        <w:rPr>
          <w:spacing w:val="-12"/>
          <w:lang w:val="en-GB"/>
        </w:rPr>
        <w:t xml:space="preserve"> </w:t>
      </w:r>
      <w:r w:rsidRPr="00F11E57">
        <w:rPr>
          <w:lang w:val="en-GB"/>
        </w:rPr>
        <w:t>and</w:t>
      </w:r>
    </w:p>
    <w:p w14:paraId="3C0E2A93" w14:textId="77777777" w:rsidR="00AB5574" w:rsidRPr="00F11E57" w:rsidRDefault="006F79B6" w:rsidP="00641A58">
      <w:pPr>
        <w:pStyle w:val="ListParagraph"/>
        <w:numPr>
          <w:ilvl w:val="1"/>
          <w:numId w:val="9"/>
        </w:numPr>
        <w:tabs>
          <w:tab w:val="left" w:pos="981"/>
        </w:tabs>
        <w:spacing w:before="1" w:line="274" w:lineRule="auto"/>
        <w:ind w:right="770"/>
        <w:rPr>
          <w:lang w:val="en-GB"/>
        </w:rPr>
      </w:pPr>
      <w:r w:rsidRPr="00F11E57">
        <w:rPr>
          <w:lang w:val="en-GB"/>
        </w:rPr>
        <w:t>the fund is subject to government regulation and provides information reporting to the tax authorities.</w:t>
      </w:r>
    </w:p>
    <w:p w14:paraId="068421F9" w14:textId="77777777" w:rsidR="00AB5574" w:rsidRPr="00F11E57" w:rsidRDefault="006F79B6" w:rsidP="00641A58">
      <w:pPr>
        <w:pStyle w:val="ListParagraph"/>
        <w:numPr>
          <w:ilvl w:val="0"/>
          <w:numId w:val="9"/>
        </w:numPr>
        <w:tabs>
          <w:tab w:val="left" w:pos="621"/>
        </w:tabs>
        <w:spacing w:before="1" w:line="274" w:lineRule="auto"/>
        <w:ind w:right="591"/>
        <w:rPr>
          <w:lang w:val="en-GB"/>
        </w:rPr>
      </w:pPr>
      <w:r w:rsidRPr="00F11E57">
        <w:rPr>
          <w:lang w:val="en-GB"/>
        </w:rPr>
        <w:t>The term “</w:t>
      </w:r>
      <w:r w:rsidRPr="00F11E57">
        <w:rPr>
          <w:b/>
          <w:lang w:val="en-GB"/>
        </w:rPr>
        <w:t>Pension Fund of a Governmental Entity, International Organisation or Central Bank</w:t>
      </w:r>
      <w:r w:rsidRPr="00F11E57">
        <w:rPr>
          <w:lang w:val="en-GB"/>
        </w:rPr>
        <w:t>” means a fund established by a Governmental Entity, International Organisation or Central Bank to provide retirement, disability, or death benefits to beneficiaries or participants who are current or former employees (or persons designated by such employees), or who are not current or former employees, if the benefits provided to such beneficiaries or participants are in consideration of personal services performed for the Governmental Entity, International Organisation or Central</w:t>
      </w:r>
      <w:r w:rsidRPr="00F11E57">
        <w:rPr>
          <w:spacing w:val="-4"/>
          <w:lang w:val="en-GB"/>
        </w:rPr>
        <w:t xml:space="preserve"> </w:t>
      </w:r>
      <w:r w:rsidRPr="00F11E57">
        <w:rPr>
          <w:lang w:val="en-GB"/>
        </w:rPr>
        <w:t>Bank.</w:t>
      </w:r>
    </w:p>
    <w:p w14:paraId="1617F566" w14:textId="77777777" w:rsidR="00AB5574" w:rsidRPr="00F11E57" w:rsidRDefault="006F79B6" w:rsidP="00641A58">
      <w:pPr>
        <w:pStyle w:val="ListParagraph"/>
        <w:numPr>
          <w:ilvl w:val="0"/>
          <w:numId w:val="9"/>
        </w:numPr>
        <w:tabs>
          <w:tab w:val="left" w:pos="621"/>
        </w:tabs>
        <w:spacing w:before="1" w:line="274" w:lineRule="auto"/>
        <w:ind w:right="963"/>
        <w:rPr>
          <w:lang w:val="en-GB"/>
        </w:rPr>
      </w:pPr>
      <w:r w:rsidRPr="00F11E57">
        <w:rPr>
          <w:lang w:val="en-GB"/>
        </w:rPr>
        <w:t>The term “</w:t>
      </w:r>
      <w:r w:rsidRPr="00F11E57">
        <w:rPr>
          <w:b/>
          <w:lang w:val="en-GB"/>
        </w:rPr>
        <w:t>Qualified Credit Card Issuer</w:t>
      </w:r>
      <w:r w:rsidRPr="00F11E57">
        <w:rPr>
          <w:lang w:val="en-GB"/>
        </w:rPr>
        <w:t>” means a Financial Institution satisfying the following requirements:</w:t>
      </w:r>
    </w:p>
    <w:p w14:paraId="302DF66A" w14:textId="77777777" w:rsidR="00AB5574" w:rsidRPr="00F11E57" w:rsidRDefault="006F79B6" w:rsidP="00641A58">
      <w:pPr>
        <w:pStyle w:val="ListParagraph"/>
        <w:numPr>
          <w:ilvl w:val="1"/>
          <w:numId w:val="9"/>
        </w:numPr>
        <w:tabs>
          <w:tab w:val="left" w:pos="981"/>
        </w:tabs>
        <w:spacing w:before="1" w:line="274" w:lineRule="auto"/>
        <w:ind w:right="669"/>
        <w:rPr>
          <w:lang w:val="en-GB"/>
        </w:rPr>
      </w:pPr>
      <w:r w:rsidRPr="00F11E57">
        <w:rPr>
          <w:lang w:val="en-GB"/>
        </w:rPr>
        <w:t>the Financial Institution is a Financial Institution solely because it is an issuer of credit cards that accepts deposits only when a customer makes a payment in excess of a balance due with respect to the card and the overpayment is not immediately returned to the customer; and</w:t>
      </w:r>
    </w:p>
    <w:p w14:paraId="6E53085D" w14:textId="24134C64" w:rsidR="00AB5574" w:rsidRPr="00F11E57" w:rsidRDefault="006F79B6" w:rsidP="00641A58">
      <w:pPr>
        <w:pStyle w:val="ListParagraph"/>
        <w:numPr>
          <w:ilvl w:val="1"/>
          <w:numId w:val="9"/>
        </w:numPr>
        <w:tabs>
          <w:tab w:val="left" w:pos="981"/>
        </w:tabs>
        <w:spacing w:before="1" w:line="274" w:lineRule="auto"/>
        <w:ind w:right="759"/>
        <w:rPr>
          <w:lang w:val="en-GB"/>
        </w:rPr>
      </w:pPr>
      <w:r w:rsidRPr="00F11E57">
        <w:rPr>
          <w:lang w:val="en-GB"/>
        </w:rPr>
        <w:t>beginning on or before 1 January 2017, the Financial Institution implements policies and procedures either to prevent a customer from making an overpayment in excess of USD 50 000, or to ensure that any customer overpayment in excess of that amount is refunded to the customer within 60 days, in each case applying th</w:t>
      </w:r>
      <w:r w:rsidR="00D66786" w:rsidRPr="00F11E57">
        <w:rPr>
          <w:lang w:val="en-GB"/>
        </w:rPr>
        <w:t>e rules set forth in paragraph D</w:t>
      </w:r>
      <w:r w:rsidRPr="00F11E57">
        <w:rPr>
          <w:lang w:val="en-GB"/>
        </w:rPr>
        <w:t xml:space="preserve"> of Section VII for account aggregation and currency translation. For this purpose, a customer overpayment does not refer to credit balances to the extent of disputed charges but does include </w:t>
      </w:r>
      <w:r w:rsidRPr="00F11E57">
        <w:rPr>
          <w:lang w:val="en-GB"/>
        </w:rPr>
        <w:lastRenderedPageBreak/>
        <w:t>credit balances resulting from merchandise</w:t>
      </w:r>
      <w:r w:rsidRPr="00F11E57">
        <w:rPr>
          <w:spacing w:val="-6"/>
          <w:lang w:val="en-GB"/>
        </w:rPr>
        <w:t xml:space="preserve"> </w:t>
      </w:r>
      <w:r w:rsidRPr="00F11E57">
        <w:rPr>
          <w:lang w:val="en-GB"/>
        </w:rPr>
        <w:t>returns.</w:t>
      </w:r>
    </w:p>
    <w:p w14:paraId="0274B90C" w14:textId="77777777" w:rsidR="00AB5574" w:rsidRPr="00F11E57" w:rsidRDefault="006F79B6" w:rsidP="00641A58">
      <w:pPr>
        <w:pStyle w:val="ListParagraph"/>
        <w:numPr>
          <w:ilvl w:val="0"/>
          <w:numId w:val="9"/>
        </w:numPr>
        <w:tabs>
          <w:tab w:val="left" w:pos="621"/>
        </w:tabs>
        <w:spacing w:before="1" w:line="274" w:lineRule="auto"/>
        <w:ind w:right="686"/>
        <w:rPr>
          <w:lang w:val="en-GB"/>
        </w:rPr>
      </w:pPr>
      <w:r w:rsidRPr="00F11E57">
        <w:rPr>
          <w:lang w:val="en-GB"/>
        </w:rPr>
        <w:t>The term “</w:t>
      </w:r>
      <w:r w:rsidRPr="00F11E57">
        <w:rPr>
          <w:b/>
          <w:lang w:val="en-GB"/>
        </w:rPr>
        <w:t>Exempt Collective Investment Vehicle</w:t>
      </w:r>
      <w:r w:rsidRPr="00F11E57">
        <w:rPr>
          <w:lang w:val="en-GB"/>
        </w:rPr>
        <w:t>” means an Investment Entity that is regulated as a collective investment vehicle, provided that all of the interests in the collective investment vehicle are held by or through individuals or Entities that are not Reportable Persons, except a Passive NFE with Controlling Persons who are Reportable</w:t>
      </w:r>
      <w:r w:rsidRPr="00F11E57">
        <w:rPr>
          <w:spacing w:val="-8"/>
          <w:lang w:val="en-GB"/>
        </w:rPr>
        <w:t xml:space="preserve"> </w:t>
      </w:r>
      <w:r w:rsidRPr="00F11E57">
        <w:rPr>
          <w:lang w:val="en-GB"/>
        </w:rPr>
        <w:t>Persons.</w:t>
      </w:r>
    </w:p>
    <w:p w14:paraId="52EBAC25" w14:textId="77777777" w:rsidR="00AB5574" w:rsidRPr="00F11E57" w:rsidRDefault="00AB5574" w:rsidP="005557B1">
      <w:pPr>
        <w:pStyle w:val="BodyText"/>
        <w:spacing w:before="1" w:line="274" w:lineRule="auto"/>
        <w:ind w:firstLine="0"/>
        <w:rPr>
          <w:sz w:val="16"/>
          <w:lang w:val="en-GB"/>
        </w:rPr>
      </w:pPr>
    </w:p>
    <w:p w14:paraId="3637D66B" w14:textId="77777777" w:rsidR="00AB5574" w:rsidRPr="00F11E57" w:rsidRDefault="006F79B6" w:rsidP="00641A58">
      <w:pPr>
        <w:pStyle w:val="ListParagraph"/>
        <w:numPr>
          <w:ilvl w:val="0"/>
          <w:numId w:val="11"/>
        </w:numPr>
        <w:tabs>
          <w:tab w:val="left" w:pos="484"/>
        </w:tabs>
        <w:spacing w:before="1" w:line="274" w:lineRule="auto"/>
        <w:ind w:left="483" w:hanging="223"/>
        <w:rPr>
          <w:b/>
          <w:lang w:val="en-GB"/>
        </w:rPr>
      </w:pPr>
      <w:r w:rsidRPr="00F11E57">
        <w:rPr>
          <w:b/>
          <w:lang w:val="en-GB"/>
        </w:rPr>
        <w:t>Financial</w:t>
      </w:r>
      <w:r w:rsidRPr="00F11E57">
        <w:rPr>
          <w:b/>
          <w:spacing w:val="-3"/>
          <w:lang w:val="en-GB"/>
        </w:rPr>
        <w:t xml:space="preserve"> </w:t>
      </w:r>
      <w:r w:rsidRPr="00F11E57">
        <w:rPr>
          <w:b/>
          <w:lang w:val="en-GB"/>
        </w:rPr>
        <w:t>Account</w:t>
      </w:r>
    </w:p>
    <w:p w14:paraId="32669812" w14:textId="77777777" w:rsidR="00136E94" w:rsidRPr="00F11E57" w:rsidRDefault="00136E94" w:rsidP="00136E94">
      <w:pPr>
        <w:pStyle w:val="BodyText"/>
        <w:spacing w:before="1" w:line="274" w:lineRule="auto"/>
        <w:ind w:firstLine="0"/>
        <w:rPr>
          <w:sz w:val="16"/>
          <w:lang w:val="en-GB"/>
        </w:rPr>
      </w:pPr>
    </w:p>
    <w:p w14:paraId="334F148F" w14:textId="77777777" w:rsidR="00AB5574" w:rsidRPr="00F11E57" w:rsidRDefault="006F79B6" w:rsidP="00641A58">
      <w:pPr>
        <w:pStyle w:val="ListParagraph"/>
        <w:numPr>
          <w:ilvl w:val="0"/>
          <w:numId w:val="8"/>
        </w:numPr>
        <w:tabs>
          <w:tab w:val="left" w:pos="621"/>
        </w:tabs>
        <w:spacing w:before="1" w:line="274" w:lineRule="auto"/>
        <w:ind w:right="1166"/>
        <w:rPr>
          <w:lang w:val="en-GB"/>
        </w:rPr>
      </w:pPr>
      <w:r w:rsidRPr="00F11E57">
        <w:rPr>
          <w:lang w:val="en-GB"/>
        </w:rPr>
        <w:t>The term “</w:t>
      </w:r>
      <w:r w:rsidRPr="00F11E57">
        <w:rPr>
          <w:b/>
          <w:lang w:val="en-GB"/>
        </w:rPr>
        <w:t>Financial Account</w:t>
      </w:r>
      <w:r w:rsidRPr="00F11E57">
        <w:rPr>
          <w:lang w:val="en-GB"/>
        </w:rPr>
        <w:t>” means an account maintained by a Financial Institution, and includes a Depository Account, a Custodial Account</w:t>
      </w:r>
      <w:r w:rsidRPr="00F11E57">
        <w:rPr>
          <w:spacing w:val="-2"/>
          <w:lang w:val="en-GB"/>
        </w:rPr>
        <w:t xml:space="preserve"> </w:t>
      </w:r>
      <w:r w:rsidRPr="00F11E57">
        <w:rPr>
          <w:lang w:val="en-GB"/>
        </w:rPr>
        <w:t>and:</w:t>
      </w:r>
    </w:p>
    <w:p w14:paraId="706EC595" w14:textId="49603F08" w:rsidR="00AB5574" w:rsidRPr="00F11E57" w:rsidRDefault="006F79B6" w:rsidP="00641A58">
      <w:pPr>
        <w:pStyle w:val="ListParagraph"/>
        <w:numPr>
          <w:ilvl w:val="1"/>
          <w:numId w:val="8"/>
        </w:numPr>
        <w:tabs>
          <w:tab w:val="left" w:pos="981"/>
        </w:tabs>
        <w:spacing w:before="1" w:line="274" w:lineRule="auto"/>
        <w:ind w:right="603"/>
        <w:rPr>
          <w:lang w:val="en-GB"/>
        </w:rPr>
      </w:pPr>
      <w:r w:rsidRPr="00F11E57">
        <w:rPr>
          <w:lang w:val="en-GB"/>
        </w:rPr>
        <w:t xml:space="preserve">in the case of an Investment Entity, any </w:t>
      </w:r>
      <w:r w:rsidR="000B674C" w:rsidRPr="00F11E57">
        <w:rPr>
          <w:lang w:val="en-GB"/>
        </w:rPr>
        <w:t>E</w:t>
      </w:r>
      <w:r w:rsidRPr="00F11E57">
        <w:rPr>
          <w:lang w:val="en-GB"/>
        </w:rPr>
        <w:t>quity</w:t>
      </w:r>
      <w:r w:rsidR="000B674C" w:rsidRPr="00F11E57">
        <w:rPr>
          <w:lang w:val="en-GB"/>
        </w:rPr>
        <w:t xml:space="preserve"> Interest</w:t>
      </w:r>
      <w:r w:rsidRPr="00F11E57">
        <w:rPr>
          <w:lang w:val="en-GB"/>
        </w:rPr>
        <w:t xml:space="preserve"> or debt interest in the Financial Institution. Notwithstanding the foregoing, the term “Financial Account” does not include any </w:t>
      </w:r>
      <w:r w:rsidR="000B674C" w:rsidRPr="00F11E57">
        <w:rPr>
          <w:lang w:val="en-GB"/>
        </w:rPr>
        <w:t>E</w:t>
      </w:r>
      <w:r w:rsidRPr="00F11E57">
        <w:rPr>
          <w:lang w:val="en-GB"/>
        </w:rPr>
        <w:t>quity</w:t>
      </w:r>
      <w:r w:rsidR="000B674C" w:rsidRPr="00F11E57">
        <w:rPr>
          <w:lang w:val="en-GB"/>
        </w:rPr>
        <w:t xml:space="preserve"> Interest</w:t>
      </w:r>
      <w:r w:rsidRPr="00F11E57">
        <w:rPr>
          <w:lang w:val="en-GB"/>
        </w:rPr>
        <w:t xml:space="preserve"> or debt interest in an Entity that is an Investment Entity solely because it (i) renders</w:t>
      </w:r>
      <w:r w:rsidRPr="00F11E57">
        <w:rPr>
          <w:spacing w:val="-25"/>
          <w:lang w:val="en-GB"/>
        </w:rPr>
        <w:t xml:space="preserve"> </w:t>
      </w:r>
      <w:r w:rsidRPr="00F11E57">
        <w:rPr>
          <w:lang w:val="en-GB"/>
        </w:rPr>
        <w:t>investment</w:t>
      </w:r>
      <w:r w:rsidR="00136E94" w:rsidRPr="00F11E57">
        <w:rPr>
          <w:lang w:val="en-GB"/>
        </w:rPr>
        <w:t xml:space="preserve"> </w:t>
      </w:r>
      <w:r w:rsidRPr="00F11E57">
        <w:rPr>
          <w:lang w:val="en-GB"/>
        </w:rPr>
        <w:t>advice to, and acts on behalf of, or (ii) manages portfolios for, and acts on behalf of, a customer for the purpose of investing, managing, or administering Financial Assets deposited in the name of the customer with a Financial Institution other than such Entity;</w:t>
      </w:r>
    </w:p>
    <w:p w14:paraId="649ECE07" w14:textId="1FCBC577" w:rsidR="00AB5574" w:rsidRPr="00F11E57" w:rsidRDefault="006F79B6" w:rsidP="00641A58">
      <w:pPr>
        <w:pStyle w:val="ListParagraph"/>
        <w:numPr>
          <w:ilvl w:val="1"/>
          <w:numId w:val="8"/>
        </w:numPr>
        <w:tabs>
          <w:tab w:val="left" w:pos="981"/>
        </w:tabs>
        <w:spacing w:before="1" w:line="274" w:lineRule="auto"/>
        <w:ind w:right="979"/>
        <w:jc w:val="both"/>
        <w:rPr>
          <w:lang w:val="en-GB"/>
        </w:rPr>
      </w:pPr>
      <w:r w:rsidRPr="00F11E57">
        <w:rPr>
          <w:lang w:val="en-GB"/>
        </w:rPr>
        <w:t xml:space="preserve">in the case of a Financial Institution not described in subparagraph C(1)(a), any </w:t>
      </w:r>
      <w:r w:rsidR="008E0082" w:rsidRPr="00F11E57">
        <w:rPr>
          <w:lang w:val="en-GB"/>
        </w:rPr>
        <w:t>E</w:t>
      </w:r>
      <w:r w:rsidRPr="00F11E57">
        <w:rPr>
          <w:lang w:val="en-GB"/>
        </w:rPr>
        <w:t>quity</w:t>
      </w:r>
      <w:r w:rsidR="008E0082" w:rsidRPr="00F11E57">
        <w:rPr>
          <w:lang w:val="en-GB"/>
        </w:rPr>
        <w:t xml:space="preserve"> Interest</w:t>
      </w:r>
      <w:r w:rsidRPr="00F11E57">
        <w:rPr>
          <w:lang w:val="en-GB"/>
        </w:rPr>
        <w:t xml:space="preserve"> or debt interest in the Financial Institution, if the class of interests was established with the purpose of avoiding reporting in accordance with Section I;</w:t>
      </w:r>
      <w:r w:rsidRPr="00F11E57">
        <w:rPr>
          <w:spacing w:val="-8"/>
          <w:lang w:val="en-GB"/>
        </w:rPr>
        <w:t xml:space="preserve"> </w:t>
      </w:r>
      <w:r w:rsidRPr="00F11E57">
        <w:rPr>
          <w:lang w:val="en-GB"/>
        </w:rPr>
        <w:t>and</w:t>
      </w:r>
    </w:p>
    <w:p w14:paraId="3B52C7C6" w14:textId="77777777" w:rsidR="00AB5574" w:rsidRPr="00F11E57" w:rsidRDefault="006F79B6" w:rsidP="00641A58">
      <w:pPr>
        <w:pStyle w:val="ListParagraph"/>
        <w:numPr>
          <w:ilvl w:val="1"/>
          <w:numId w:val="8"/>
        </w:numPr>
        <w:tabs>
          <w:tab w:val="left" w:pos="981"/>
        </w:tabs>
        <w:spacing w:before="1" w:line="274" w:lineRule="auto"/>
        <w:ind w:right="653"/>
        <w:rPr>
          <w:lang w:val="en-GB"/>
        </w:rPr>
      </w:pPr>
      <w:r w:rsidRPr="00F11E57">
        <w:rPr>
          <w:lang w:val="en-GB"/>
        </w:rPr>
        <w:t>any Cash Value Insurance Contract and any Annuity Contract issued or maintained by a Financial Institution, other than a non-investment-linked, non-transferable immediate life annuity that is issued to an individual and monetises a pension or disability benefit provided under an account that is an Excluded</w:t>
      </w:r>
      <w:r w:rsidRPr="00F11E57">
        <w:rPr>
          <w:spacing w:val="-9"/>
          <w:lang w:val="en-GB"/>
        </w:rPr>
        <w:t xml:space="preserve"> </w:t>
      </w:r>
      <w:r w:rsidRPr="00F11E57">
        <w:rPr>
          <w:lang w:val="en-GB"/>
        </w:rPr>
        <w:t>Account.</w:t>
      </w:r>
    </w:p>
    <w:p w14:paraId="740D1868" w14:textId="1963F15E" w:rsidR="00AB5574" w:rsidRPr="00F11E57" w:rsidRDefault="006F79B6" w:rsidP="005557B1">
      <w:pPr>
        <w:pStyle w:val="BodyText"/>
        <w:spacing w:before="1" w:line="274" w:lineRule="auto"/>
        <w:ind w:firstLine="620"/>
        <w:rPr>
          <w:lang w:val="en-GB"/>
        </w:rPr>
      </w:pPr>
      <w:r w:rsidRPr="00F11E57">
        <w:rPr>
          <w:lang w:val="en-GB"/>
        </w:rPr>
        <w:t>The term “Financial Account” does not include any account that is an Excluded Account.</w:t>
      </w:r>
    </w:p>
    <w:p w14:paraId="356E48BD" w14:textId="77777777" w:rsidR="00AB5574" w:rsidRPr="00F11E57" w:rsidRDefault="006F79B6" w:rsidP="00641A58">
      <w:pPr>
        <w:pStyle w:val="ListParagraph"/>
        <w:numPr>
          <w:ilvl w:val="0"/>
          <w:numId w:val="8"/>
        </w:numPr>
        <w:tabs>
          <w:tab w:val="left" w:pos="621"/>
        </w:tabs>
        <w:spacing w:before="1" w:line="274" w:lineRule="auto"/>
        <w:ind w:right="677"/>
        <w:rPr>
          <w:lang w:val="en-GB"/>
        </w:rPr>
      </w:pPr>
      <w:r w:rsidRPr="00F11E57">
        <w:rPr>
          <w:lang w:val="en-GB"/>
        </w:rPr>
        <w:t>The term “</w:t>
      </w:r>
      <w:r w:rsidRPr="00F11E57">
        <w:rPr>
          <w:b/>
          <w:lang w:val="en-GB"/>
        </w:rPr>
        <w:t>Depository Account</w:t>
      </w:r>
      <w:r w:rsidRPr="00F11E57">
        <w:rPr>
          <w:lang w:val="en-GB"/>
        </w:rPr>
        <w:t>” includes any commercial, checking, savings, time, or thrift account, or an account that is evidenced by a certificate of deposit, thrift certificate, investment certificate, certificate of indebtedness, or other similar instrument maintained by a Financial Institution in the ordinary course of a banking or similar business. A Depository Account also includes an amount held by an insurance company pursuant to a guaranteed investment contract or similar agreement to pay or credit interest</w:t>
      </w:r>
      <w:r w:rsidRPr="00F11E57">
        <w:rPr>
          <w:spacing w:val="-10"/>
          <w:lang w:val="en-GB"/>
        </w:rPr>
        <w:t xml:space="preserve"> </w:t>
      </w:r>
      <w:r w:rsidRPr="00F11E57">
        <w:rPr>
          <w:lang w:val="en-GB"/>
        </w:rPr>
        <w:t>thereon.</w:t>
      </w:r>
    </w:p>
    <w:p w14:paraId="62E95758" w14:textId="77777777" w:rsidR="00AB5574" w:rsidRPr="00F11E57" w:rsidRDefault="006F79B6" w:rsidP="00641A58">
      <w:pPr>
        <w:pStyle w:val="ListParagraph"/>
        <w:numPr>
          <w:ilvl w:val="0"/>
          <w:numId w:val="8"/>
        </w:numPr>
        <w:tabs>
          <w:tab w:val="left" w:pos="621"/>
        </w:tabs>
        <w:spacing w:before="1" w:line="274" w:lineRule="auto"/>
        <w:ind w:right="793"/>
        <w:rPr>
          <w:lang w:val="en-GB"/>
        </w:rPr>
      </w:pPr>
      <w:r w:rsidRPr="00F11E57">
        <w:rPr>
          <w:lang w:val="en-GB"/>
        </w:rPr>
        <w:t>The term “</w:t>
      </w:r>
      <w:r w:rsidRPr="00F11E57">
        <w:rPr>
          <w:b/>
          <w:lang w:val="en-GB"/>
        </w:rPr>
        <w:t>Custodial Account</w:t>
      </w:r>
      <w:r w:rsidRPr="00F11E57">
        <w:rPr>
          <w:lang w:val="en-GB"/>
        </w:rPr>
        <w:t>” means an account (other than an Insurance Contract or Annuity Contract) which holds one or more Financial Assets for the benefit of another</w:t>
      </w:r>
      <w:r w:rsidRPr="00F11E57">
        <w:rPr>
          <w:spacing w:val="-17"/>
          <w:lang w:val="en-GB"/>
        </w:rPr>
        <w:t xml:space="preserve"> </w:t>
      </w:r>
      <w:r w:rsidRPr="00F11E57">
        <w:rPr>
          <w:lang w:val="en-GB"/>
        </w:rPr>
        <w:t>person.</w:t>
      </w:r>
    </w:p>
    <w:p w14:paraId="2CC8BF42" w14:textId="01B7F96D" w:rsidR="00AB5574" w:rsidRPr="00F11E57" w:rsidRDefault="006F79B6" w:rsidP="00641A58">
      <w:pPr>
        <w:pStyle w:val="ListParagraph"/>
        <w:numPr>
          <w:ilvl w:val="0"/>
          <w:numId w:val="8"/>
        </w:numPr>
        <w:tabs>
          <w:tab w:val="left" w:pos="621"/>
        </w:tabs>
        <w:spacing w:before="1" w:line="274" w:lineRule="auto"/>
        <w:ind w:right="840"/>
        <w:rPr>
          <w:lang w:val="en-GB"/>
        </w:rPr>
      </w:pPr>
      <w:r w:rsidRPr="00F11E57">
        <w:rPr>
          <w:lang w:val="en-GB"/>
        </w:rPr>
        <w:t>The term “</w:t>
      </w:r>
      <w:r w:rsidRPr="00F11E57">
        <w:rPr>
          <w:b/>
          <w:lang w:val="en-GB"/>
        </w:rPr>
        <w:t>Equity Interest</w:t>
      </w:r>
      <w:r w:rsidRPr="00F11E57">
        <w:rPr>
          <w:lang w:val="en-GB"/>
        </w:rPr>
        <w:t xml:space="preserve">” means, in the case of a partnership that is a </w:t>
      </w:r>
      <w:r w:rsidRPr="00F11E57">
        <w:rPr>
          <w:lang w:val="en-GB"/>
        </w:rPr>
        <w:lastRenderedPageBreak/>
        <w:t>Financial Institution, either a capital or profits interest in the partnership. In the case of a trust that is a Financial Institution, an Equity Interest is considered to be held by any person treated as a settlor or beneficiary of all or a portion of the trust, or any other natural person exercising ultimate effective control over the trust. A Reportable Person will be treated as being a beneficiary of a trust if such Reportable Person has the right to receive directly or indirectly (for example, through a nominee) a mandatory distribution or may receive, directly or indirectly, a discretionary distribution from the</w:t>
      </w:r>
      <w:r w:rsidRPr="00F11E57">
        <w:rPr>
          <w:spacing w:val="-6"/>
          <w:lang w:val="en-GB"/>
        </w:rPr>
        <w:t xml:space="preserve"> </w:t>
      </w:r>
      <w:r w:rsidRPr="00F11E57">
        <w:rPr>
          <w:lang w:val="en-GB"/>
        </w:rPr>
        <w:t>trust.</w:t>
      </w:r>
    </w:p>
    <w:p w14:paraId="2C5E1D38" w14:textId="77777777" w:rsidR="00AB5574" w:rsidRPr="00F11E57" w:rsidRDefault="006F79B6" w:rsidP="00641A58">
      <w:pPr>
        <w:pStyle w:val="ListParagraph"/>
        <w:numPr>
          <w:ilvl w:val="0"/>
          <w:numId w:val="8"/>
        </w:numPr>
        <w:tabs>
          <w:tab w:val="left" w:pos="621"/>
        </w:tabs>
        <w:spacing w:before="1" w:line="274" w:lineRule="auto"/>
        <w:ind w:right="729"/>
        <w:rPr>
          <w:lang w:val="en-GB"/>
        </w:rPr>
      </w:pPr>
      <w:r w:rsidRPr="00F11E57">
        <w:rPr>
          <w:lang w:val="en-GB"/>
        </w:rPr>
        <w:t>The term “</w:t>
      </w:r>
      <w:r w:rsidRPr="00F11E57">
        <w:rPr>
          <w:b/>
          <w:lang w:val="en-GB"/>
        </w:rPr>
        <w:t>Insurance Contract</w:t>
      </w:r>
      <w:r w:rsidRPr="00F11E57">
        <w:rPr>
          <w:lang w:val="en-GB"/>
        </w:rPr>
        <w:t>” means a contract (other than an Annuity Contract) under which the issuer agrees to pay an amount upon the occurrence of a specified contingency involving mortality, morbidity, accident, liability, or property</w:t>
      </w:r>
      <w:r w:rsidRPr="00F11E57">
        <w:rPr>
          <w:spacing w:val="-6"/>
          <w:lang w:val="en-GB"/>
        </w:rPr>
        <w:t xml:space="preserve"> </w:t>
      </w:r>
      <w:r w:rsidRPr="00F11E57">
        <w:rPr>
          <w:lang w:val="en-GB"/>
        </w:rPr>
        <w:t>risk.</w:t>
      </w:r>
    </w:p>
    <w:p w14:paraId="3193C9CE" w14:textId="77777777" w:rsidR="00AB5574" w:rsidRPr="00F11E57" w:rsidRDefault="006F79B6" w:rsidP="00641A58">
      <w:pPr>
        <w:pStyle w:val="ListParagraph"/>
        <w:numPr>
          <w:ilvl w:val="0"/>
          <w:numId w:val="8"/>
        </w:numPr>
        <w:tabs>
          <w:tab w:val="left" w:pos="621"/>
        </w:tabs>
        <w:spacing w:before="1" w:line="274" w:lineRule="auto"/>
        <w:ind w:right="602"/>
        <w:rPr>
          <w:lang w:val="en-GB"/>
        </w:rPr>
      </w:pPr>
      <w:r w:rsidRPr="00F11E57">
        <w:rPr>
          <w:lang w:val="en-GB"/>
        </w:rPr>
        <w:t>The term “</w:t>
      </w:r>
      <w:r w:rsidRPr="00F11E57">
        <w:rPr>
          <w:b/>
          <w:lang w:val="en-GB"/>
        </w:rPr>
        <w:t>Annuity Contract</w:t>
      </w:r>
      <w:r w:rsidRPr="00F11E57">
        <w:rPr>
          <w:lang w:val="en-GB"/>
        </w:rPr>
        <w:t>” means a contract under which the issuer agrees to make payments for a period of time determined in whole or in part by reference to the life expectancy of one or more individuals. The term also includes a contract that is considered to be an Annuity Contract in accordance with the law, regulation, or practice of the jurisdiction in which the contract was issued, and under which the issuer agrees to make payments for a term of</w:t>
      </w:r>
      <w:r w:rsidRPr="00F11E57">
        <w:rPr>
          <w:spacing w:val="-18"/>
          <w:lang w:val="en-GB"/>
        </w:rPr>
        <w:t xml:space="preserve"> </w:t>
      </w:r>
      <w:r w:rsidRPr="00F11E57">
        <w:rPr>
          <w:lang w:val="en-GB"/>
        </w:rPr>
        <w:t>years.</w:t>
      </w:r>
    </w:p>
    <w:p w14:paraId="0DB1C339" w14:textId="77777777" w:rsidR="00AB5574" w:rsidRPr="00F11E57" w:rsidRDefault="006F79B6" w:rsidP="00641A58">
      <w:pPr>
        <w:pStyle w:val="ListParagraph"/>
        <w:numPr>
          <w:ilvl w:val="0"/>
          <w:numId w:val="8"/>
        </w:numPr>
        <w:tabs>
          <w:tab w:val="left" w:pos="621"/>
        </w:tabs>
        <w:spacing w:before="1" w:line="274" w:lineRule="auto"/>
        <w:ind w:right="1181"/>
        <w:rPr>
          <w:lang w:val="en-GB"/>
        </w:rPr>
      </w:pPr>
      <w:r w:rsidRPr="00F11E57">
        <w:rPr>
          <w:lang w:val="en-GB"/>
        </w:rPr>
        <w:t>The term “</w:t>
      </w:r>
      <w:r w:rsidRPr="00F11E57">
        <w:rPr>
          <w:b/>
          <w:lang w:val="en-GB"/>
        </w:rPr>
        <w:t>Cash Value Insurance Contract</w:t>
      </w:r>
      <w:r w:rsidRPr="00F11E57">
        <w:rPr>
          <w:lang w:val="en-GB"/>
        </w:rPr>
        <w:t>” means an Insurance Contract (other than an indemnity reinsurance contract between two insurance companies) that has a Cash</w:t>
      </w:r>
      <w:r w:rsidRPr="00F11E57">
        <w:rPr>
          <w:spacing w:val="-22"/>
          <w:lang w:val="en-GB"/>
        </w:rPr>
        <w:t xml:space="preserve"> </w:t>
      </w:r>
      <w:r w:rsidRPr="00F11E57">
        <w:rPr>
          <w:lang w:val="en-GB"/>
        </w:rPr>
        <w:t>Value.</w:t>
      </w:r>
    </w:p>
    <w:p w14:paraId="779B1DF2" w14:textId="77777777" w:rsidR="00AB5574" w:rsidRPr="00F11E57" w:rsidRDefault="006F79B6" w:rsidP="00641A58">
      <w:pPr>
        <w:pStyle w:val="ListParagraph"/>
        <w:numPr>
          <w:ilvl w:val="0"/>
          <w:numId w:val="8"/>
        </w:numPr>
        <w:tabs>
          <w:tab w:val="left" w:pos="621"/>
        </w:tabs>
        <w:spacing w:before="1" w:line="274" w:lineRule="auto"/>
        <w:ind w:right="705"/>
        <w:rPr>
          <w:lang w:val="en-GB"/>
        </w:rPr>
      </w:pPr>
      <w:r w:rsidRPr="00F11E57">
        <w:rPr>
          <w:lang w:val="en-GB"/>
        </w:rPr>
        <w:t>The term “</w:t>
      </w:r>
      <w:r w:rsidRPr="00F11E57">
        <w:rPr>
          <w:b/>
          <w:lang w:val="en-GB"/>
        </w:rPr>
        <w:t>Cash Value</w:t>
      </w:r>
      <w:r w:rsidRPr="00F11E57">
        <w:rPr>
          <w:lang w:val="en-GB"/>
        </w:rPr>
        <w:t>” means the greater of (i) the amount that the policyholder is entitled to receive upon surrender or termination of the contract (determined without reduction for any surrender charge or policy loan); and (ii) the amount the policyholder can borrow under or with regard to the contract. Notwithstanding the foregoing, the term “Cash Value” does not include an amount payable under an Insurance</w:t>
      </w:r>
      <w:r w:rsidRPr="00F11E57">
        <w:rPr>
          <w:spacing w:val="-3"/>
          <w:lang w:val="en-GB"/>
        </w:rPr>
        <w:t xml:space="preserve"> </w:t>
      </w:r>
      <w:r w:rsidRPr="00F11E57">
        <w:rPr>
          <w:lang w:val="en-GB"/>
        </w:rPr>
        <w:t>Contract:</w:t>
      </w:r>
    </w:p>
    <w:p w14:paraId="14D8CE9E" w14:textId="77777777" w:rsidR="00AB5574" w:rsidRPr="00F11E57" w:rsidRDefault="006F79B6" w:rsidP="00641A58">
      <w:pPr>
        <w:pStyle w:val="ListParagraph"/>
        <w:numPr>
          <w:ilvl w:val="1"/>
          <w:numId w:val="8"/>
        </w:numPr>
        <w:tabs>
          <w:tab w:val="left" w:pos="981"/>
        </w:tabs>
        <w:spacing w:before="1" w:line="274" w:lineRule="auto"/>
        <w:rPr>
          <w:lang w:val="en-GB"/>
        </w:rPr>
      </w:pPr>
      <w:r w:rsidRPr="00F11E57">
        <w:rPr>
          <w:lang w:val="en-GB"/>
        </w:rPr>
        <w:t>solely by reason of the death of an individual insured under a life insurance</w:t>
      </w:r>
      <w:r w:rsidRPr="00F11E57">
        <w:rPr>
          <w:spacing w:val="-14"/>
          <w:lang w:val="en-GB"/>
        </w:rPr>
        <w:t xml:space="preserve"> </w:t>
      </w:r>
      <w:r w:rsidRPr="00F11E57">
        <w:rPr>
          <w:lang w:val="en-GB"/>
        </w:rPr>
        <w:t>contract;</w:t>
      </w:r>
    </w:p>
    <w:p w14:paraId="0061E51E" w14:textId="77777777" w:rsidR="00AB5574" w:rsidRPr="00F11E57" w:rsidRDefault="006F79B6" w:rsidP="00641A58">
      <w:pPr>
        <w:pStyle w:val="ListParagraph"/>
        <w:numPr>
          <w:ilvl w:val="1"/>
          <w:numId w:val="8"/>
        </w:numPr>
        <w:tabs>
          <w:tab w:val="left" w:pos="981"/>
        </w:tabs>
        <w:spacing w:before="1" w:line="274" w:lineRule="auto"/>
        <w:ind w:right="1112"/>
        <w:rPr>
          <w:lang w:val="en-GB"/>
        </w:rPr>
      </w:pPr>
      <w:r w:rsidRPr="00F11E57">
        <w:rPr>
          <w:lang w:val="en-GB"/>
        </w:rPr>
        <w:t>as a personal injury or sickness benefit or other benefit providing indemnification of an economic loss incurred upon the occurrence of the event insured</w:t>
      </w:r>
      <w:r w:rsidRPr="00F11E57">
        <w:rPr>
          <w:spacing w:val="-13"/>
          <w:lang w:val="en-GB"/>
        </w:rPr>
        <w:t xml:space="preserve"> </w:t>
      </w:r>
      <w:r w:rsidRPr="00F11E57">
        <w:rPr>
          <w:lang w:val="en-GB"/>
        </w:rPr>
        <w:t>against;</w:t>
      </w:r>
    </w:p>
    <w:p w14:paraId="469F5B22" w14:textId="77777777" w:rsidR="00AB5574" w:rsidRPr="00F11E57" w:rsidRDefault="006F79B6" w:rsidP="00641A58">
      <w:pPr>
        <w:pStyle w:val="ListParagraph"/>
        <w:numPr>
          <w:ilvl w:val="1"/>
          <w:numId w:val="8"/>
        </w:numPr>
        <w:tabs>
          <w:tab w:val="left" w:pos="981"/>
        </w:tabs>
        <w:spacing w:before="1" w:line="274" w:lineRule="auto"/>
        <w:ind w:right="690"/>
        <w:rPr>
          <w:lang w:val="en-GB"/>
        </w:rPr>
      </w:pPr>
      <w:r w:rsidRPr="00F11E57">
        <w:rPr>
          <w:lang w:val="en-GB"/>
        </w:rPr>
        <w:t>as a refund of a previously paid premium (less cost of insurance charges whether or not actually imposed) under an Insurance Contract (other than an investment-linked life insurance or annuity contract) due to cancellation or termination of the contract, decrease in risk exposure during the effective period of the contract, or arising from the correction of a posting or similar error with regard to the premium for the</w:t>
      </w:r>
      <w:r w:rsidRPr="00F11E57">
        <w:rPr>
          <w:spacing w:val="-14"/>
          <w:lang w:val="en-GB"/>
        </w:rPr>
        <w:t xml:space="preserve"> </w:t>
      </w:r>
      <w:r w:rsidRPr="00F11E57">
        <w:rPr>
          <w:lang w:val="en-GB"/>
        </w:rPr>
        <w:t>contract;</w:t>
      </w:r>
    </w:p>
    <w:p w14:paraId="6A77F9C6" w14:textId="77777777" w:rsidR="00AB5574" w:rsidRPr="00F11E57" w:rsidRDefault="006F79B6" w:rsidP="00641A58">
      <w:pPr>
        <w:pStyle w:val="ListParagraph"/>
        <w:numPr>
          <w:ilvl w:val="1"/>
          <w:numId w:val="8"/>
        </w:numPr>
        <w:tabs>
          <w:tab w:val="left" w:pos="981"/>
        </w:tabs>
        <w:spacing w:before="1" w:line="274" w:lineRule="auto"/>
        <w:ind w:right="891"/>
        <w:rPr>
          <w:lang w:val="en-GB"/>
        </w:rPr>
      </w:pPr>
      <w:r w:rsidRPr="00F11E57">
        <w:rPr>
          <w:lang w:val="en-GB"/>
        </w:rPr>
        <w:lastRenderedPageBreak/>
        <w:t>as a policyholder dividend (other than a termination dividend) provided that the dividend relates to an Insurance Contract under which the only benefits payable are described in subparagraph C(8)(b);</w:t>
      </w:r>
      <w:r w:rsidRPr="00F11E57">
        <w:rPr>
          <w:spacing w:val="-2"/>
          <w:lang w:val="en-GB"/>
        </w:rPr>
        <w:t xml:space="preserve"> </w:t>
      </w:r>
      <w:r w:rsidRPr="00F11E57">
        <w:rPr>
          <w:lang w:val="en-GB"/>
        </w:rPr>
        <w:t>or</w:t>
      </w:r>
    </w:p>
    <w:p w14:paraId="17B601AA" w14:textId="77777777" w:rsidR="00AB5574" w:rsidRPr="00F11E57" w:rsidRDefault="006F79B6" w:rsidP="00641A58">
      <w:pPr>
        <w:pStyle w:val="ListParagraph"/>
        <w:numPr>
          <w:ilvl w:val="1"/>
          <w:numId w:val="8"/>
        </w:numPr>
        <w:tabs>
          <w:tab w:val="left" w:pos="981"/>
        </w:tabs>
        <w:spacing w:before="1" w:line="274" w:lineRule="auto"/>
        <w:ind w:right="645"/>
        <w:jc w:val="both"/>
        <w:rPr>
          <w:lang w:val="en-GB"/>
        </w:rPr>
      </w:pPr>
      <w:r w:rsidRPr="00F11E57">
        <w:rPr>
          <w:lang w:val="en-GB"/>
        </w:rPr>
        <w:t>as a return of an advance premium or premium deposit for an Insurance Contract for which the premium is payable at least annually if the amount of the advance premium or premium deposit does not exceed the next annual premium that will be payable under the</w:t>
      </w:r>
      <w:r w:rsidRPr="00F11E57">
        <w:rPr>
          <w:spacing w:val="-30"/>
          <w:lang w:val="en-GB"/>
        </w:rPr>
        <w:t xml:space="preserve"> </w:t>
      </w:r>
      <w:r w:rsidRPr="00F11E57">
        <w:rPr>
          <w:lang w:val="en-GB"/>
        </w:rPr>
        <w:t>contract.</w:t>
      </w:r>
    </w:p>
    <w:p w14:paraId="6122F07D" w14:textId="692B7408" w:rsidR="00AB5574" w:rsidRPr="00F11E57" w:rsidRDefault="006F79B6" w:rsidP="00641A58">
      <w:pPr>
        <w:pStyle w:val="ListParagraph"/>
        <w:numPr>
          <w:ilvl w:val="0"/>
          <w:numId w:val="8"/>
        </w:numPr>
        <w:tabs>
          <w:tab w:val="left" w:pos="621"/>
        </w:tabs>
        <w:spacing w:before="1" w:line="274" w:lineRule="auto"/>
        <w:ind w:right="629"/>
        <w:rPr>
          <w:lang w:val="en-GB"/>
        </w:rPr>
      </w:pPr>
      <w:r w:rsidRPr="00F11E57">
        <w:rPr>
          <w:lang w:val="en-GB"/>
        </w:rPr>
        <w:t>The term “</w:t>
      </w:r>
      <w:r w:rsidRPr="00F11E57">
        <w:rPr>
          <w:b/>
          <w:lang w:val="en-GB"/>
        </w:rPr>
        <w:t>Pre-existing Account</w:t>
      </w:r>
      <w:r w:rsidRPr="00F11E57">
        <w:rPr>
          <w:lang w:val="en-GB"/>
        </w:rPr>
        <w:t>” means</w:t>
      </w:r>
      <w:r w:rsidR="00451C9F" w:rsidRPr="00F11E57">
        <w:rPr>
          <w:lang w:val="en-GB"/>
        </w:rPr>
        <w:t>:</w:t>
      </w:r>
    </w:p>
    <w:p w14:paraId="1470DC1B" w14:textId="77777777" w:rsidR="00AB5574" w:rsidRPr="00F11E57" w:rsidRDefault="006F79B6" w:rsidP="00641A58">
      <w:pPr>
        <w:pStyle w:val="ListParagraph"/>
        <w:numPr>
          <w:ilvl w:val="1"/>
          <w:numId w:val="8"/>
        </w:numPr>
        <w:tabs>
          <w:tab w:val="left" w:pos="981"/>
        </w:tabs>
        <w:spacing w:before="1" w:line="274" w:lineRule="auto"/>
        <w:rPr>
          <w:lang w:val="en-GB"/>
        </w:rPr>
      </w:pPr>
      <w:r w:rsidRPr="00F11E57">
        <w:rPr>
          <w:lang w:val="en-GB"/>
        </w:rPr>
        <w:t>a Financial Account maintained by a Reporting Financial Institution as of 31 December</w:t>
      </w:r>
      <w:r w:rsidRPr="00F11E57">
        <w:rPr>
          <w:spacing w:val="-23"/>
          <w:lang w:val="en-GB"/>
        </w:rPr>
        <w:t xml:space="preserve"> </w:t>
      </w:r>
      <w:r w:rsidRPr="00F11E57">
        <w:rPr>
          <w:lang w:val="en-GB"/>
        </w:rPr>
        <w:t>2016;</w:t>
      </w:r>
    </w:p>
    <w:p w14:paraId="48B8B27A" w14:textId="77777777" w:rsidR="00AB5574" w:rsidRPr="00F11E57" w:rsidRDefault="006F79B6" w:rsidP="00641A58">
      <w:pPr>
        <w:pStyle w:val="ListParagraph"/>
        <w:numPr>
          <w:ilvl w:val="1"/>
          <w:numId w:val="8"/>
        </w:numPr>
        <w:tabs>
          <w:tab w:val="left" w:pos="981"/>
        </w:tabs>
        <w:spacing w:before="1" w:line="274" w:lineRule="auto"/>
        <w:ind w:right="854"/>
        <w:rPr>
          <w:lang w:val="en-GB"/>
        </w:rPr>
      </w:pPr>
      <w:r w:rsidRPr="00F11E57">
        <w:rPr>
          <w:lang w:val="en-GB"/>
        </w:rPr>
        <w:t>any Financial Account of an Account Holder, regardless of the date such Financial Account was opened,</w:t>
      </w:r>
      <w:r w:rsidRPr="00F11E57">
        <w:rPr>
          <w:spacing w:val="-2"/>
          <w:lang w:val="en-GB"/>
        </w:rPr>
        <w:t xml:space="preserve"> </w:t>
      </w:r>
      <w:r w:rsidRPr="00F11E57">
        <w:rPr>
          <w:lang w:val="en-GB"/>
        </w:rPr>
        <w:t>if:</w:t>
      </w:r>
    </w:p>
    <w:p w14:paraId="70A3D4C6" w14:textId="1C2446FC" w:rsidR="00AB5574" w:rsidRPr="00F11E57" w:rsidRDefault="006F79B6" w:rsidP="00641A58">
      <w:pPr>
        <w:pStyle w:val="ListParagraph"/>
        <w:numPr>
          <w:ilvl w:val="2"/>
          <w:numId w:val="8"/>
        </w:numPr>
        <w:tabs>
          <w:tab w:val="left" w:pos="1341"/>
        </w:tabs>
        <w:spacing w:before="1" w:line="274" w:lineRule="auto"/>
        <w:ind w:right="660"/>
        <w:rPr>
          <w:lang w:val="en-GB"/>
        </w:rPr>
      </w:pPr>
      <w:r w:rsidRPr="00F11E57">
        <w:rPr>
          <w:lang w:val="en-GB"/>
        </w:rPr>
        <w:t>the Account Holder also holds with the Reporting Financial Institution (or with a Related Entity within the same jurisdiction as the Reporting Financial Institution) a Financial Account that is a Pre-existing Account under subparagraph</w:t>
      </w:r>
      <w:r w:rsidRPr="00F11E57">
        <w:rPr>
          <w:spacing w:val="-11"/>
          <w:lang w:val="en-GB"/>
        </w:rPr>
        <w:t xml:space="preserve"> </w:t>
      </w:r>
      <w:r w:rsidRPr="00F11E57">
        <w:rPr>
          <w:lang w:val="en-GB"/>
        </w:rPr>
        <w:t>C(9)(a);</w:t>
      </w:r>
    </w:p>
    <w:p w14:paraId="5D62AF91" w14:textId="5281EE08" w:rsidR="00AB5574" w:rsidRPr="00F11E57" w:rsidRDefault="006F79B6" w:rsidP="00641A58">
      <w:pPr>
        <w:pStyle w:val="ListParagraph"/>
        <w:numPr>
          <w:ilvl w:val="2"/>
          <w:numId w:val="8"/>
        </w:numPr>
        <w:tabs>
          <w:tab w:val="left" w:pos="1341"/>
        </w:tabs>
        <w:spacing w:before="1" w:line="274" w:lineRule="auto"/>
        <w:ind w:right="722"/>
        <w:rPr>
          <w:lang w:val="en-GB"/>
        </w:rPr>
      </w:pPr>
      <w:r w:rsidRPr="00F11E57">
        <w:rPr>
          <w:lang w:val="en-GB"/>
        </w:rPr>
        <w:t>the Reporting Financial Institution (and, as applicable, the Related Entity within the same jurisdiction as the Reporting Financial Institution) treats both of the aforementioned Financial Accounts, and any other Financial Accounts of the Account Holder that are treated as Pre-existing Accounts under this subparagraph, as a single Financial Account for purposes of satisfying the standards of knowledge requirements described in paragraph A of Section VII, and for purposes of determining the balance or value of any of the Financial Accounts when applying any of the account</w:t>
      </w:r>
      <w:r w:rsidRPr="00F11E57">
        <w:rPr>
          <w:spacing w:val="-22"/>
          <w:lang w:val="en-GB"/>
        </w:rPr>
        <w:t xml:space="preserve"> </w:t>
      </w:r>
      <w:r w:rsidRPr="00F11E57">
        <w:rPr>
          <w:lang w:val="en-GB"/>
        </w:rPr>
        <w:t>thresholds</w:t>
      </w:r>
      <w:r w:rsidR="00944338" w:rsidRPr="00F11E57">
        <w:rPr>
          <w:lang w:val="en-GB"/>
        </w:rPr>
        <w:t>.</w:t>
      </w:r>
    </w:p>
    <w:p w14:paraId="583450FB" w14:textId="520F049C" w:rsidR="000830A6" w:rsidRPr="00F11E57" w:rsidRDefault="000830A6" w:rsidP="000830A6">
      <w:pPr>
        <w:pStyle w:val="ListParagraph"/>
        <w:numPr>
          <w:ilvl w:val="2"/>
          <w:numId w:val="8"/>
        </w:numPr>
        <w:tabs>
          <w:tab w:val="left" w:pos="1341"/>
        </w:tabs>
        <w:spacing w:before="1" w:line="274" w:lineRule="auto"/>
        <w:ind w:right="722"/>
        <w:rPr>
          <w:lang w:val="en-GB"/>
        </w:rPr>
      </w:pPr>
      <w:r w:rsidRPr="00F11E57">
        <w:rPr>
          <w:lang w:val="en-GB"/>
        </w:rPr>
        <w:t>with respect to a Financial Account that is subject to AML/KYC Procedures, the Reporting Financial Institution is permitted to satisfy such AML/KYC Procedures for the Financial Account by relying upon the AML/KYC Procedures performed for the Pre-existing Account described in subparagraph C(9)(a); and  </w:t>
      </w:r>
    </w:p>
    <w:p w14:paraId="3199E64D" w14:textId="3405FB31" w:rsidR="000830A6" w:rsidRPr="00F11E57" w:rsidRDefault="000830A6" w:rsidP="000830A6">
      <w:pPr>
        <w:pStyle w:val="ListParagraph"/>
        <w:numPr>
          <w:ilvl w:val="2"/>
          <w:numId w:val="8"/>
        </w:numPr>
        <w:tabs>
          <w:tab w:val="left" w:pos="1341"/>
        </w:tabs>
        <w:spacing w:before="1" w:line="274" w:lineRule="auto"/>
        <w:ind w:right="722"/>
        <w:rPr>
          <w:lang w:val="en-GB"/>
        </w:rPr>
      </w:pPr>
      <w:r w:rsidRPr="00F11E57">
        <w:rPr>
          <w:lang w:val="en-GB"/>
        </w:rPr>
        <w:t>the opening of the Financial Account does not require the provision of new, additional or amended customer information by the Account Holder other than for the purposes of this Regulation.  </w:t>
      </w:r>
    </w:p>
    <w:p w14:paraId="5759A47F" w14:textId="77777777" w:rsidR="00AB5574" w:rsidRPr="00F11E57" w:rsidRDefault="006F79B6" w:rsidP="00641A58">
      <w:pPr>
        <w:pStyle w:val="ListParagraph"/>
        <w:numPr>
          <w:ilvl w:val="0"/>
          <w:numId w:val="8"/>
        </w:numPr>
        <w:tabs>
          <w:tab w:val="left" w:pos="621"/>
        </w:tabs>
        <w:spacing w:before="1" w:line="274" w:lineRule="auto"/>
        <w:ind w:right="629"/>
        <w:rPr>
          <w:lang w:val="en-GB"/>
        </w:rPr>
      </w:pPr>
      <w:r w:rsidRPr="00F11E57">
        <w:rPr>
          <w:lang w:val="en-GB"/>
        </w:rPr>
        <w:t>The term “</w:t>
      </w:r>
      <w:r w:rsidRPr="00F11E57">
        <w:rPr>
          <w:b/>
          <w:lang w:val="en-GB"/>
        </w:rPr>
        <w:t>New Account</w:t>
      </w:r>
      <w:r w:rsidRPr="00F11E57">
        <w:rPr>
          <w:lang w:val="en-GB"/>
        </w:rPr>
        <w:t>” means a Financial Account maintained by a Reporting Financial Institution opened on or after 1 January 2017 unless it is treated as a Pre-existing Account under subparagraph</w:t>
      </w:r>
      <w:r w:rsidRPr="00F11E57">
        <w:rPr>
          <w:spacing w:val="-2"/>
          <w:lang w:val="en-GB"/>
        </w:rPr>
        <w:t xml:space="preserve"> </w:t>
      </w:r>
      <w:r w:rsidRPr="00F11E57">
        <w:rPr>
          <w:lang w:val="en-GB"/>
        </w:rPr>
        <w:t>C(9)(b).</w:t>
      </w:r>
    </w:p>
    <w:p w14:paraId="25087168" w14:textId="77777777" w:rsidR="00AB5574" w:rsidRPr="00F11E57" w:rsidRDefault="006F79B6" w:rsidP="00641A58">
      <w:pPr>
        <w:pStyle w:val="ListParagraph"/>
        <w:numPr>
          <w:ilvl w:val="0"/>
          <w:numId w:val="8"/>
        </w:numPr>
        <w:tabs>
          <w:tab w:val="left" w:pos="621"/>
        </w:tabs>
        <w:spacing w:before="1" w:line="274" w:lineRule="auto"/>
        <w:ind w:right="805"/>
        <w:rPr>
          <w:lang w:val="en-GB"/>
        </w:rPr>
      </w:pPr>
      <w:r w:rsidRPr="00F11E57">
        <w:rPr>
          <w:lang w:val="en-GB"/>
        </w:rPr>
        <w:t>The term “</w:t>
      </w:r>
      <w:r w:rsidRPr="00F11E57">
        <w:rPr>
          <w:b/>
          <w:lang w:val="en-GB"/>
        </w:rPr>
        <w:t>Pre-existing Individual Account</w:t>
      </w:r>
      <w:r w:rsidRPr="00F11E57">
        <w:rPr>
          <w:lang w:val="en-GB"/>
        </w:rPr>
        <w:t>” means a Pre-existing Account held by one or more individuals.</w:t>
      </w:r>
    </w:p>
    <w:p w14:paraId="4FF37161" w14:textId="77777777" w:rsidR="00AB5574" w:rsidRPr="00F11E57" w:rsidRDefault="006F79B6" w:rsidP="00641A58">
      <w:pPr>
        <w:pStyle w:val="ListParagraph"/>
        <w:numPr>
          <w:ilvl w:val="0"/>
          <w:numId w:val="8"/>
        </w:numPr>
        <w:tabs>
          <w:tab w:val="left" w:pos="621"/>
        </w:tabs>
        <w:spacing w:before="1" w:line="274" w:lineRule="auto"/>
        <w:rPr>
          <w:lang w:val="en-GB"/>
        </w:rPr>
      </w:pPr>
      <w:r w:rsidRPr="00F11E57">
        <w:rPr>
          <w:lang w:val="en-GB"/>
        </w:rPr>
        <w:t>The term “</w:t>
      </w:r>
      <w:r w:rsidRPr="00F11E57">
        <w:rPr>
          <w:b/>
          <w:lang w:val="en-GB"/>
        </w:rPr>
        <w:t>New Individual Account</w:t>
      </w:r>
      <w:r w:rsidRPr="00F11E57">
        <w:rPr>
          <w:lang w:val="en-GB"/>
        </w:rPr>
        <w:t>” means a New Account held by one or more</w:t>
      </w:r>
      <w:r w:rsidRPr="00F11E57">
        <w:rPr>
          <w:spacing w:val="-21"/>
          <w:lang w:val="en-GB"/>
        </w:rPr>
        <w:t xml:space="preserve"> </w:t>
      </w:r>
      <w:r w:rsidRPr="00F11E57">
        <w:rPr>
          <w:lang w:val="en-GB"/>
        </w:rPr>
        <w:t>individuals.</w:t>
      </w:r>
    </w:p>
    <w:p w14:paraId="495184D5" w14:textId="77777777" w:rsidR="00AB5574" w:rsidRPr="00F11E57" w:rsidRDefault="006F79B6" w:rsidP="00641A58">
      <w:pPr>
        <w:pStyle w:val="ListParagraph"/>
        <w:numPr>
          <w:ilvl w:val="0"/>
          <w:numId w:val="8"/>
        </w:numPr>
        <w:tabs>
          <w:tab w:val="left" w:pos="621"/>
        </w:tabs>
        <w:spacing w:before="1" w:line="274" w:lineRule="auto"/>
        <w:ind w:right="1177"/>
        <w:rPr>
          <w:lang w:val="en-GB"/>
        </w:rPr>
      </w:pPr>
      <w:r w:rsidRPr="00F11E57">
        <w:rPr>
          <w:lang w:val="en-GB"/>
        </w:rPr>
        <w:t>The term “</w:t>
      </w:r>
      <w:r w:rsidRPr="00F11E57">
        <w:rPr>
          <w:b/>
          <w:lang w:val="en-GB"/>
        </w:rPr>
        <w:t>Pre-existing Entity Account</w:t>
      </w:r>
      <w:r w:rsidRPr="00F11E57">
        <w:rPr>
          <w:lang w:val="en-GB"/>
        </w:rPr>
        <w:t xml:space="preserve">” means a Pre-existing Account </w:t>
      </w:r>
      <w:r w:rsidRPr="00F11E57">
        <w:rPr>
          <w:lang w:val="en-GB"/>
        </w:rPr>
        <w:lastRenderedPageBreak/>
        <w:t>held by one or more Entities.</w:t>
      </w:r>
    </w:p>
    <w:p w14:paraId="5BA0E44A" w14:textId="77777777" w:rsidR="00AB5574" w:rsidRPr="00F11E57" w:rsidRDefault="006F79B6" w:rsidP="00641A58">
      <w:pPr>
        <w:pStyle w:val="ListParagraph"/>
        <w:numPr>
          <w:ilvl w:val="0"/>
          <w:numId w:val="8"/>
        </w:numPr>
        <w:tabs>
          <w:tab w:val="left" w:pos="621"/>
        </w:tabs>
        <w:spacing w:before="1" w:line="274" w:lineRule="auto"/>
        <w:ind w:right="990"/>
        <w:rPr>
          <w:lang w:val="en-GB"/>
        </w:rPr>
      </w:pPr>
      <w:r w:rsidRPr="00F11E57">
        <w:rPr>
          <w:lang w:val="en-GB"/>
        </w:rPr>
        <w:t>The term “</w:t>
      </w:r>
      <w:r w:rsidRPr="00F11E57">
        <w:rPr>
          <w:b/>
          <w:lang w:val="en-GB"/>
        </w:rPr>
        <w:t>Lower Value Account</w:t>
      </w:r>
      <w:r w:rsidRPr="00F11E57">
        <w:rPr>
          <w:lang w:val="en-GB"/>
        </w:rPr>
        <w:t>” means a Pre-existing Individual Account with an aggregate balance or value as of 31 December 2016 that does not exceed USD 1 000</w:t>
      </w:r>
      <w:r w:rsidRPr="00F11E57">
        <w:rPr>
          <w:spacing w:val="-21"/>
          <w:lang w:val="en-GB"/>
        </w:rPr>
        <w:t xml:space="preserve"> </w:t>
      </w:r>
      <w:r w:rsidRPr="00F11E57">
        <w:rPr>
          <w:lang w:val="en-GB"/>
        </w:rPr>
        <w:t>000.</w:t>
      </w:r>
    </w:p>
    <w:p w14:paraId="4662D428" w14:textId="77777777" w:rsidR="00AB5574" w:rsidRPr="00F11E57" w:rsidRDefault="006F79B6" w:rsidP="00641A58">
      <w:pPr>
        <w:pStyle w:val="ListParagraph"/>
        <w:numPr>
          <w:ilvl w:val="0"/>
          <w:numId w:val="8"/>
        </w:numPr>
        <w:tabs>
          <w:tab w:val="left" w:pos="621"/>
        </w:tabs>
        <w:spacing w:before="1" w:line="274" w:lineRule="auto"/>
        <w:ind w:right="864"/>
        <w:rPr>
          <w:lang w:val="en-GB"/>
        </w:rPr>
      </w:pPr>
      <w:r w:rsidRPr="00F11E57">
        <w:rPr>
          <w:lang w:val="en-GB"/>
        </w:rPr>
        <w:t>The term “</w:t>
      </w:r>
      <w:r w:rsidRPr="00F11E57">
        <w:rPr>
          <w:b/>
          <w:lang w:val="en-GB"/>
        </w:rPr>
        <w:t>High Value Account</w:t>
      </w:r>
      <w:r w:rsidRPr="00F11E57">
        <w:rPr>
          <w:lang w:val="en-GB"/>
        </w:rPr>
        <w:t>” means a Pre-existing Individual Account with an aggregate balance or value that exceeds USD 1 000 000 as of 31 December 2016, or 31 December of any subsequent</w:t>
      </w:r>
      <w:r w:rsidRPr="00F11E57">
        <w:rPr>
          <w:spacing w:val="-1"/>
          <w:lang w:val="en-GB"/>
        </w:rPr>
        <w:t xml:space="preserve"> </w:t>
      </w:r>
      <w:r w:rsidRPr="00F11E57">
        <w:rPr>
          <w:lang w:val="en-GB"/>
        </w:rPr>
        <w:t>year.</w:t>
      </w:r>
    </w:p>
    <w:p w14:paraId="5871E43D" w14:textId="77777777" w:rsidR="00AB5574" w:rsidRPr="00F11E57" w:rsidRDefault="006F79B6" w:rsidP="00641A58">
      <w:pPr>
        <w:pStyle w:val="ListParagraph"/>
        <w:numPr>
          <w:ilvl w:val="0"/>
          <w:numId w:val="8"/>
        </w:numPr>
        <w:tabs>
          <w:tab w:val="left" w:pos="621"/>
        </w:tabs>
        <w:spacing w:before="1" w:line="274" w:lineRule="auto"/>
        <w:rPr>
          <w:lang w:val="en-GB"/>
        </w:rPr>
      </w:pPr>
      <w:r w:rsidRPr="00F11E57">
        <w:rPr>
          <w:lang w:val="en-GB"/>
        </w:rPr>
        <w:t>The term “</w:t>
      </w:r>
      <w:r w:rsidRPr="00F11E57">
        <w:rPr>
          <w:b/>
          <w:lang w:val="en-GB"/>
        </w:rPr>
        <w:t>New Entity Account</w:t>
      </w:r>
      <w:r w:rsidRPr="00F11E57">
        <w:rPr>
          <w:lang w:val="en-GB"/>
        </w:rPr>
        <w:t>” means a New Account held by one or more</w:t>
      </w:r>
      <w:r w:rsidRPr="00F11E57">
        <w:rPr>
          <w:spacing w:val="-24"/>
          <w:lang w:val="en-GB"/>
        </w:rPr>
        <w:t xml:space="preserve"> </w:t>
      </w:r>
      <w:r w:rsidRPr="00F11E57">
        <w:rPr>
          <w:lang w:val="en-GB"/>
        </w:rPr>
        <w:t>Entities.</w:t>
      </w:r>
    </w:p>
    <w:p w14:paraId="244DCC9B" w14:textId="77777777" w:rsidR="00AB5574" w:rsidRPr="00F11E57" w:rsidRDefault="006F79B6" w:rsidP="00641A58">
      <w:pPr>
        <w:pStyle w:val="ListParagraph"/>
        <w:numPr>
          <w:ilvl w:val="0"/>
          <w:numId w:val="8"/>
        </w:numPr>
        <w:tabs>
          <w:tab w:val="left" w:pos="621"/>
        </w:tabs>
        <w:spacing w:before="1" w:line="274" w:lineRule="auto"/>
        <w:rPr>
          <w:lang w:val="en-GB"/>
        </w:rPr>
      </w:pPr>
      <w:r w:rsidRPr="00F11E57">
        <w:rPr>
          <w:lang w:val="en-GB"/>
        </w:rPr>
        <w:t>The term “</w:t>
      </w:r>
      <w:r w:rsidRPr="00F11E57">
        <w:rPr>
          <w:b/>
          <w:lang w:val="en-GB"/>
        </w:rPr>
        <w:t>Excluded Account</w:t>
      </w:r>
      <w:r w:rsidRPr="00F11E57">
        <w:rPr>
          <w:lang w:val="en-GB"/>
        </w:rPr>
        <w:t>” means any of the following</w:t>
      </w:r>
      <w:r w:rsidRPr="00F11E57">
        <w:rPr>
          <w:spacing w:val="-9"/>
          <w:lang w:val="en-GB"/>
        </w:rPr>
        <w:t xml:space="preserve"> </w:t>
      </w:r>
      <w:r w:rsidRPr="00F11E57">
        <w:rPr>
          <w:lang w:val="en-GB"/>
        </w:rPr>
        <w:t>accounts:</w:t>
      </w:r>
    </w:p>
    <w:p w14:paraId="57AF24FB" w14:textId="77777777" w:rsidR="00AB5574" w:rsidRPr="00F11E57" w:rsidRDefault="006F79B6" w:rsidP="00641A58">
      <w:pPr>
        <w:pStyle w:val="ListParagraph"/>
        <w:numPr>
          <w:ilvl w:val="1"/>
          <w:numId w:val="8"/>
        </w:numPr>
        <w:tabs>
          <w:tab w:val="left" w:pos="981"/>
        </w:tabs>
        <w:spacing w:before="1" w:line="274" w:lineRule="auto"/>
        <w:rPr>
          <w:lang w:val="en-GB"/>
        </w:rPr>
      </w:pPr>
      <w:r w:rsidRPr="00F11E57">
        <w:rPr>
          <w:lang w:val="en-GB"/>
        </w:rPr>
        <w:t>a retirement or pension account that satisfies the following</w:t>
      </w:r>
      <w:r w:rsidRPr="00F11E57">
        <w:rPr>
          <w:spacing w:val="-10"/>
          <w:lang w:val="en-GB"/>
        </w:rPr>
        <w:t xml:space="preserve"> </w:t>
      </w:r>
      <w:r w:rsidRPr="00F11E57">
        <w:rPr>
          <w:lang w:val="en-GB"/>
        </w:rPr>
        <w:t>requirements:</w:t>
      </w:r>
    </w:p>
    <w:p w14:paraId="752AA6BE" w14:textId="77777777" w:rsidR="00AB5574" w:rsidRPr="00F11E57" w:rsidRDefault="006F79B6" w:rsidP="00641A58">
      <w:pPr>
        <w:pStyle w:val="ListParagraph"/>
        <w:numPr>
          <w:ilvl w:val="2"/>
          <w:numId w:val="8"/>
        </w:numPr>
        <w:tabs>
          <w:tab w:val="left" w:pos="1341"/>
        </w:tabs>
        <w:spacing w:before="1" w:line="274" w:lineRule="auto"/>
        <w:ind w:right="968"/>
        <w:rPr>
          <w:lang w:val="en-GB"/>
        </w:rPr>
      </w:pPr>
      <w:r w:rsidRPr="00F11E57">
        <w:rPr>
          <w:lang w:val="en-GB"/>
        </w:rPr>
        <w:t>the account is subject to regulation as a personal retirement account or is part of a registered or regulated retirement or pension plan for the provision of retirement or pension benefits (including disability or death</w:t>
      </w:r>
      <w:r w:rsidRPr="00F11E57">
        <w:rPr>
          <w:spacing w:val="-6"/>
          <w:lang w:val="en-GB"/>
        </w:rPr>
        <w:t xml:space="preserve"> </w:t>
      </w:r>
      <w:r w:rsidRPr="00F11E57">
        <w:rPr>
          <w:lang w:val="en-GB"/>
        </w:rPr>
        <w:t>benefits);</w:t>
      </w:r>
    </w:p>
    <w:p w14:paraId="004BC701" w14:textId="77777777" w:rsidR="00AB5574" w:rsidRPr="00F11E57" w:rsidRDefault="006F79B6" w:rsidP="00641A58">
      <w:pPr>
        <w:pStyle w:val="ListParagraph"/>
        <w:numPr>
          <w:ilvl w:val="2"/>
          <w:numId w:val="8"/>
        </w:numPr>
        <w:tabs>
          <w:tab w:val="left" w:pos="1341"/>
        </w:tabs>
        <w:spacing w:before="1" w:line="274" w:lineRule="auto"/>
        <w:ind w:right="795"/>
        <w:rPr>
          <w:lang w:val="en-GB"/>
        </w:rPr>
      </w:pPr>
      <w:r w:rsidRPr="00F11E57">
        <w:rPr>
          <w:lang w:val="en-GB"/>
        </w:rPr>
        <w:t>the account is tax-favoured (i.e., contributions to the account that would otherwise be subject to tax are deductible or excluded from the gross income of the Account Holder or taxed at a reduced rate, or taxation of investment income from the account is deferred or taxed at a reduced</w:t>
      </w:r>
      <w:r w:rsidRPr="00F11E57">
        <w:rPr>
          <w:spacing w:val="-4"/>
          <w:lang w:val="en-GB"/>
        </w:rPr>
        <w:t xml:space="preserve"> </w:t>
      </w:r>
      <w:r w:rsidRPr="00F11E57">
        <w:rPr>
          <w:lang w:val="en-GB"/>
        </w:rPr>
        <w:t>rate);</w:t>
      </w:r>
    </w:p>
    <w:p w14:paraId="761E2E21" w14:textId="77777777" w:rsidR="00AB5574" w:rsidRPr="00F11E57" w:rsidRDefault="006F79B6" w:rsidP="00641A58">
      <w:pPr>
        <w:pStyle w:val="ListParagraph"/>
        <w:numPr>
          <w:ilvl w:val="2"/>
          <w:numId w:val="8"/>
        </w:numPr>
        <w:tabs>
          <w:tab w:val="left" w:pos="1341"/>
        </w:tabs>
        <w:spacing w:before="1" w:line="274" w:lineRule="auto"/>
        <w:rPr>
          <w:lang w:val="en-GB"/>
        </w:rPr>
      </w:pPr>
      <w:r w:rsidRPr="00F11E57">
        <w:rPr>
          <w:lang w:val="en-GB"/>
        </w:rPr>
        <w:t>information reporting is required to the tax authorities with respect to the</w:t>
      </w:r>
      <w:r w:rsidRPr="00F11E57">
        <w:rPr>
          <w:spacing w:val="-9"/>
          <w:lang w:val="en-GB"/>
        </w:rPr>
        <w:t xml:space="preserve"> </w:t>
      </w:r>
      <w:r w:rsidRPr="00F11E57">
        <w:rPr>
          <w:lang w:val="en-GB"/>
        </w:rPr>
        <w:t>account;</w:t>
      </w:r>
    </w:p>
    <w:p w14:paraId="7EDC8DBD" w14:textId="77777777" w:rsidR="00AB5574" w:rsidRPr="00F11E57" w:rsidRDefault="006F79B6" w:rsidP="00641A58">
      <w:pPr>
        <w:pStyle w:val="ListParagraph"/>
        <w:numPr>
          <w:ilvl w:val="2"/>
          <w:numId w:val="8"/>
        </w:numPr>
        <w:tabs>
          <w:tab w:val="left" w:pos="1341"/>
        </w:tabs>
        <w:spacing w:before="1" w:line="274" w:lineRule="auto"/>
        <w:ind w:right="648"/>
        <w:rPr>
          <w:lang w:val="en-GB"/>
        </w:rPr>
      </w:pPr>
      <w:r w:rsidRPr="00F11E57">
        <w:rPr>
          <w:lang w:val="en-GB"/>
        </w:rPr>
        <w:t>withdrawals are conditioned on reaching a specified retirement age, disability, or death, or penalties apply to withdrawals made before such specified events;</w:t>
      </w:r>
      <w:r w:rsidRPr="00F11E57">
        <w:rPr>
          <w:spacing w:val="-4"/>
          <w:lang w:val="en-GB"/>
        </w:rPr>
        <w:t xml:space="preserve"> </w:t>
      </w:r>
      <w:r w:rsidRPr="00F11E57">
        <w:rPr>
          <w:lang w:val="en-GB"/>
        </w:rPr>
        <w:t>and</w:t>
      </w:r>
    </w:p>
    <w:p w14:paraId="6E368D82" w14:textId="5A1A459B" w:rsidR="00AB5574" w:rsidRPr="00F11E57" w:rsidRDefault="006F79B6" w:rsidP="00641A58">
      <w:pPr>
        <w:pStyle w:val="ListParagraph"/>
        <w:numPr>
          <w:ilvl w:val="2"/>
          <w:numId w:val="8"/>
        </w:numPr>
        <w:tabs>
          <w:tab w:val="left" w:pos="1338"/>
        </w:tabs>
        <w:spacing w:before="1" w:line="274" w:lineRule="auto"/>
        <w:ind w:left="1338" w:right="906" w:hanging="358"/>
        <w:rPr>
          <w:lang w:val="en-GB"/>
        </w:rPr>
      </w:pPr>
      <w:r w:rsidRPr="00F11E57">
        <w:rPr>
          <w:lang w:val="en-GB"/>
        </w:rPr>
        <w:t>either (i) annual contributions are limited to USD 50 000 or less; or (ii) there is a maximum lifetime contribution limit to the account of USD 1 000 000 or less, in each case applying th</w:t>
      </w:r>
      <w:r w:rsidR="00D66786" w:rsidRPr="00F11E57">
        <w:rPr>
          <w:lang w:val="en-GB"/>
        </w:rPr>
        <w:t>e rules set forth in paragraph D</w:t>
      </w:r>
      <w:r w:rsidRPr="00F11E57">
        <w:rPr>
          <w:lang w:val="en-GB"/>
        </w:rPr>
        <w:t xml:space="preserve"> of Section VII for account aggregation and currency</w:t>
      </w:r>
      <w:r w:rsidRPr="00F11E57">
        <w:rPr>
          <w:spacing w:val="-4"/>
          <w:lang w:val="en-GB"/>
        </w:rPr>
        <w:t xml:space="preserve"> </w:t>
      </w:r>
      <w:r w:rsidRPr="00F11E57">
        <w:rPr>
          <w:lang w:val="en-GB"/>
        </w:rPr>
        <w:t>translation.</w:t>
      </w:r>
    </w:p>
    <w:p w14:paraId="3DDFAC30" w14:textId="77777777" w:rsidR="00AB5574" w:rsidRPr="00F11E57" w:rsidRDefault="006F79B6" w:rsidP="005557B1">
      <w:pPr>
        <w:pStyle w:val="BodyText"/>
        <w:spacing w:before="1" w:line="274" w:lineRule="auto"/>
        <w:ind w:left="1338" w:right="563" w:firstLine="0"/>
        <w:rPr>
          <w:lang w:val="en-GB"/>
        </w:rPr>
      </w:pPr>
      <w:r w:rsidRPr="00F11E57">
        <w:rPr>
          <w:lang w:val="en-GB"/>
        </w:rPr>
        <w:t>A Financial Account that otherwise satisfies the requirement of subparagraph C(17)(a)(v) will not fail to satisfy such requirement solely because such Financial Account may receive assets or funds transferred from one or more Financial Accounts that meet the requirements of subparagraph C(17)(a) or (b) or from one or more retirement or pension funds that meet the requirements of any of subparagraphs B(5) through (7);</w:t>
      </w:r>
    </w:p>
    <w:p w14:paraId="48DD7FEF" w14:textId="77777777" w:rsidR="00AB5574" w:rsidRPr="00F11E57" w:rsidRDefault="006F79B6" w:rsidP="00641A58">
      <w:pPr>
        <w:pStyle w:val="ListParagraph"/>
        <w:numPr>
          <w:ilvl w:val="1"/>
          <w:numId w:val="8"/>
        </w:numPr>
        <w:tabs>
          <w:tab w:val="left" w:pos="981"/>
        </w:tabs>
        <w:spacing w:before="1" w:line="274" w:lineRule="auto"/>
        <w:rPr>
          <w:lang w:val="en-GB"/>
        </w:rPr>
      </w:pPr>
      <w:r w:rsidRPr="00F11E57">
        <w:rPr>
          <w:lang w:val="en-GB"/>
        </w:rPr>
        <w:t>an account that satisfies the following</w:t>
      </w:r>
      <w:r w:rsidRPr="00F11E57">
        <w:rPr>
          <w:spacing w:val="-7"/>
          <w:lang w:val="en-GB"/>
        </w:rPr>
        <w:t xml:space="preserve"> </w:t>
      </w:r>
      <w:r w:rsidRPr="00F11E57">
        <w:rPr>
          <w:lang w:val="en-GB"/>
        </w:rPr>
        <w:t>requirements:</w:t>
      </w:r>
    </w:p>
    <w:p w14:paraId="7481CD23" w14:textId="77777777" w:rsidR="00AB5574" w:rsidRPr="00F11E57" w:rsidRDefault="006F79B6" w:rsidP="00641A58">
      <w:pPr>
        <w:pStyle w:val="ListParagraph"/>
        <w:numPr>
          <w:ilvl w:val="2"/>
          <w:numId w:val="8"/>
        </w:numPr>
        <w:tabs>
          <w:tab w:val="left" w:pos="1341"/>
        </w:tabs>
        <w:spacing w:before="1" w:line="274" w:lineRule="auto"/>
        <w:ind w:right="633"/>
        <w:jc w:val="both"/>
        <w:rPr>
          <w:lang w:val="en-GB"/>
        </w:rPr>
      </w:pPr>
      <w:r w:rsidRPr="00F11E57">
        <w:rPr>
          <w:lang w:val="en-GB"/>
        </w:rPr>
        <w:t xml:space="preserve">the account is subject to regulation as an investment vehicle for purposes other than for retirement and is regularly traded on an established securities market, or the account is subject to regulation as a </w:t>
      </w:r>
      <w:r w:rsidRPr="00F11E57">
        <w:rPr>
          <w:lang w:val="en-GB"/>
        </w:rPr>
        <w:lastRenderedPageBreak/>
        <w:t>savings vehicle for purposes other than for</w:t>
      </w:r>
      <w:r w:rsidRPr="00F11E57">
        <w:rPr>
          <w:spacing w:val="-16"/>
          <w:lang w:val="en-GB"/>
        </w:rPr>
        <w:t xml:space="preserve"> </w:t>
      </w:r>
      <w:r w:rsidRPr="00F11E57">
        <w:rPr>
          <w:lang w:val="en-GB"/>
        </w:rPr>
        <w:t>retirement;</w:t>
      </w:r>
    </w:p>
    <w:p w14:paraId="32A7A556" w14:textId="77777777" w:rsidR="00AB5574" w:rsidRPr="00F11E57" w:rsidRDefault="006F79B6" w:rsidP="00641A58">
      <w:pPr>
        <w:pStyle w:val="ListParagraph"/>
        <w:numPr>
          <w:ilvl w:val="2"/>
          <w:numId w:val="8"/>
        </w:numPr>
        <w:tabs>
          <w:tab w:val="left" w:pos="1341"/>
        </w:tabs>
        <w:spacing w:before="1" w:line="274" w:lineRule="auto"/>
        <w:ind w:right="795"/>
        <w:rPr>
          <w:lang w:val="en-GB"/>
        </w:rPr>
      </w:pPr>
      <w:r w:rsidRPr="00F11E57">
        <w:rPr>
          <w:lang w:val="en-GB"/>
        </w:rPr>
        <w:t>the account is tax-favoured (i.e., contributions to the account that would otherwise be subject to tax are deductible or excluded from the gross income of the Account Holder or taxed at a reduced rate, or taxation of investment income from the account is deferred or taxed at a reduced</w:t>
      </w:r>
      <w:r w:rsidRPr="00F11E57">
        <w:rPr>
          <w:spacing w:val="-4"/>
          <w:lang w:val="en-GB"/>
        </w:rPr>
        <w:t xml:space="preserve"> </w:t>
      </w:r>
      <w:r w:rsidRPr="00F11E57">
        <w:rPr>
          <w:lang w:val="en-GB"/>
        </w:rPr>
        <w:t>rate);</w:t>
      </w:r>
    </w:p>
    <w:p w14:paraId="647EA430" w14:textId="77777777" w:rsidR="00AB5574" w:rsidRPr="00F11E57" w:rsidRDefault="006F79B6" w:rsidP="00641A58">
      <w:pPr>
        <w:pStyle w:val="ListParagraph"/>
        <w:numPr>
          <w:ilvl w:val="2"/>
          <w:numId w:val="8"/>
        </w:numPr>
        <w:tabs>
          <w:tab w:val="left" w:pos="1341"/>
        </w:tabs>
        <w:spacing w:before="1" w:line="274" w:lineRule="auto"/>
        <w:ind w:right="851"/>
        <w:rPr>
          <w:lang w:val="en-GB"/>
        </w:rPr>
      </w:pPr>
      <w:r w:rsidRPr="00F11E57">
        <w:rPr>
          <w:lang w:val="en-GB"/>
        </w:rPr>
        <w:t>withdrawals are conditioned on meeting specific criteria related to the purpose of the investment or savings account (for example, the provision of educational or medical benefits), or penalties apply to withdrawals made before such criteria are met;</w:t>
      </w:r>
      <w:r w:rsidRPr="00F11E57">
        <w:rPr>
          <w:spacing w:val="-16"/>
          <w:lang w:val="en-GB"/>
        </w:rPr>
        <w:t xml:space="preserve"> </w:t>
      </w:r>
      <w:r w:rsidRPr="00F11E57">
        <w:rPr>
          <w:lang w:val="en-GB"/>
        </w:rPr>
        <w:t>and</w:t>
      </w:r>
    </w:p>
    <w:p w14:paraId="696DBE5F" w14:textId="682C187A" w:rsidR="00AB5574" w:rsidRPr="00F11E57" w:rsidRDefault="006F79B6" w:rsidP="00641A58">
      <w:pPr>
        <w:pStyle w:val="ListParagraph"/>
        <w:numPr>
          <w:ilvl w:val="2"/>
          <w:numId w:val="8"/>
        </w:numPr>
        <w:tabs>
          <w:tab w:val="left" w:pos="1341"/>
        </w:tabs>
        <w:spacing w:before="1" w:line="274" w:lineRule="auto"/>
        <w:ind w:right="966"/>
        <w:rPr>
          <w:lang w:val="en-GB"/>
        </w:rPr>
      </w:pPr>
      <w:r w:rsidRPr="00F11E57">
        <w:rPr>
          <w:lang w:val="en-GB"/>
        </w:rPr>
        <w:t>annual contributions are limited to USD 50 000 or less, applying th</w:t>
      </w:r>
      <w:r w:rsidR="00EC71C4" w:rsidRPr="00F11E57">
        <w:rPr>
          <w:lang w:val="en-GB"/>
        </w:rPr>
        <w:t>e rules set forth in paragraph D</w:t>
      </w:r>
      <w:r w:rsidRPr="00F11E57">
        <w:rPr>
          <w:lang w:val="en-GB"/>
        </w:rPr>
        <w:t xml:space="preserve"> of Section VII for account aggregation and currency</w:t>
      </w:r>
      <w:r w:rsidRPr="00F11E57">
        <w:rPr>
          <w:spacing w:val="-15"/>
          <w:lang w:val="en-GB"/>
        </w:rPr>
        <w:t xml:space="preserve"> </w:t>
      </w:r>
      <w:r w:rsidRPr="00F11E57">
        <w:rPr>
          <w:lang w:val="en-GB"/>
        </w:rPr>
        <w:t>translation.</w:t>
      </w:r>
    </w:p>
    <w:p w14:paraId="7DFBD422" w14:textId="40222BDB" w:rsidR="00AB5574" w:rsidRPr="00F11E57" w:rsidRDefault="006F79B6" w:rsidP="00136E94">
      <w:pPr>
        <w:pStyle w:val="BodyText"/>
        <w:spacing w:before="1" w:line="274" w:lineRule="auto"/>
        <w:ind w:left="1340" w:right="843" w:firstLine="0"/>
        <w:rPr>
          <w:lang w:val="en-GB"/>
        </w:rPr>
      </w:pPr>
      <w:r w:rsidRPr="00F11E57">
        <w:rPr>
          <w:lang w:val="en-GB"/>
        </w:rPr>
        <w:t>A Financial Account that otherwise satisfies the requirement of subparagraph C(17)(b)(iv) will not fail to satisfy such requirement solely because such Financial Account may receive assets or funds transferred from one or more Financial Accounts that meet the requirements of subparagraph C(17)(a) or (b) or from one or more</w:t>
      </w:r>
      <w:r w:rsidR="00136E94" w:rsidRPr="00F11E57">
        <w:rPr>
          <w:lang w:val="en-GB"/>
        </w:rPr>
        <w:t xml:space="preserve"> </w:t>
      </w:r>
      <w:r w:rsidRPr="00F11E57">
        <w:rPr>
          <w:lang w:val="en-GB"/>
        </w:rPr>
        <w:t>retirement or pension funds that meet the requirements of any of subparagraphs B(5) through (7);</w:t>
      </w:r>
    </w:p>
    <w:p w14:paraId="41060ACC" w14:textId="77777777" w:rsidR="00AB5574" w:rsidRPr="00F11E57" w:rsidRDefault="006F79B6" w:rsidP="00641A58">
      <w:pPr>
        <w:pStyle w:val="ListParagraph"/>
        <w:numPr>
          <w:ilvl w:val="1"/>
          <w:numId w:val="8"/>
        </w:numPr>
        <w:tabs>
          <w:tab w:val="left" w:pos="981"/>
        </w:tabs>
        <w:spacing w:before="1" w:line="274" w:lineRule="auto"/>
        <w:ind w:right="836"/>
        <w:rPr>
          <w:lang w:val="en-GB"/>
        </w:rPr>
      </w:pPr>
      <w:r w:rsidRPr="00F11E57">
        <w:rPr>
          <w:lang w:val="en-GB"/>
        </w:rPr>
        <w:t>a life insurance contract with a coverage period that will end before the insured individual attains age 90, provided that the contract satisfies the following</w:t>
      </w:r>
      <w:r w:rsidRPr="00F11E57">
        <w:rPr>
          <w:spacing w:val="-16"/>
          <w:lang w:val="en-GB"/>
        </w:rPr>
        <w:t xml:space="preserve"> </w:t>
      </w:r>
      <w:r w:rsidRPr="00F11E57">
        <w:rPr>
          <w:lang w:val="en-GB"/>
        </w:rPr>
        <w:t>requirements:</w:t>
      </w:r>
    </w:p>
    <w:p w14:paraId="1FD9040F" w14:textId="77777777" w:rsidR="00AB5574" w:rsidRPr="00F11E57" w:rsidRDefault="006F79B6" w:rsidP="00641A58">
      <w:pPr>
        <w:pStyle w:val="ListParagraph"/>
        <w:numPr>
          <w:ilvl w:val="2"/>
          <w:numId w:val="8"/>
        </w:numPr>
        <w:tabs>
          <w:tab w:val="left" w:pos="1341"/>
        </w:tabs>
        <w:spacing w:before="1" w:line="274" w:lineRule="auto"/>
        <w:ind w:right="1141"/>
        <w:rPr>
          <w:lang w:val="en-GB"/>
        </w:rPr>
      </w:pPr>
      <w:r w:rsidRPr="00F11E57">
        <w:rPr>
          <w:lang w:val="en-GB"/>
        </w:rPr>
        <w:t>periodic premiums, which do not decrease over time, are payable at least annually during the period the contract is in existence or until the insured attains age 90, whichever is</w:t>
      </w:r>
      <w:r w:rsidRPr="00F11E57">
        <w:rPr>
          <w:spacing w:val="-3"/>
          <w:lang w:val="en-GB"/>
        </w:rPr>
        <w:t xml:space="preserve"> </w:t>
      </w:r>
      <w:r w:rsidRPr="00F11E57">
        <w:rPr>
          <w:lang w:val="en-GB"/>
        </w:rPr>
        <w:t>shorter;</w:t>
      </w:r>
    </w:p>
    <w:p w14:paraId="637D8605" w14:textId="77777777" w:rsidR="00AB5574" w:rsidRPr="00F11E57" w:rsidRDefault="006F79B6" w:rsidP="00641A58">
      <w:pPr>
        <w:pStyle w:val="ListParagraph"/>
        <w:numPr>
          <w:ilvl w:val="2"/>
          <w:numId w:val="8"/>
        </w:numPr>
        <w:tabs>
          <w:tab w:val="left" w:pos="1341"/>
        </w:tabs>
        <w:spacing w:before="1" w:line="274" w:lineRule="auto"/>
        <w:ind w:right="838"/>
        <w:rPr>
          <w:lang w:val="en-GB"/>
        </w:rPr>
      </w:pPr>
      <w:r w:rsidRPr="00F11E57">
        <w:rPr>
          <w:lang w:val="en-GB"/>
        </w:rPr>
        <w:t>the contract has no contract value that any person can access (by withdrawal, loan, or otherwise) without terminating the</w:t>
      </w:r>
      <w:r w:rsidRPr="00F11E57">
        <w:rPr>
          <w:spacing w:val="-4"/>
          <w:lang w:val="en-GB"/>
        </w:rPr>
        <w:t xml:space="preserve"> </w:t>
      </w:r>
      <w:r w:rsidRPr="00F11E57">
        <w:rPr>
          <w:lang w:val="en-GB"/>
        </w:rPr>
        <w:t>contract;</w:t>
      </w:r>
    </w:p>
    <w:p w14:paraId="618B4E19" w14:textId="77777777" w:rsidR="00AB5574" w:rsidRPr="00F11E57" w:rsidRDefault="006F79B6" w:rsidP="00641A58">
      <w:pPr>
        <w:pStyle w:val="ListParagraph"/>
        <w:numPr>
          <w:ilvl w:val="2"/>
          <w:numId w:val="8"/>
        </w:numPr>
        <w:tabs>
          <w:tab w:val="left" w:pos="1341"/>
        </w:tabs>
        <w:spacing w:before="1" w:line="274" w:lineRule="auto"/>
        <w:ind w:right="595"/>
        <w:rPr>
          <w:lang w:val="en-GB"/>
        </w:rPr>
      </w:pPr>
      <w:r w:rsidRPr="00F11E57">
        <w:rPr>
          <w:lang w:val="en-GB"/>
        </w:rPr>
        <w:t>the amount (other than a death benefit) payable upon cancellation or termination of the contract cannot exceed the aggregate premiums paid for the contract, less the sum of mortality, morbidity, and expense charges (whether or not actually imposed) for the period or periods of the contract's existence and any amounts paid prior to the cancellation or termination of the contract;</w:t>
      </w:r>
      <w:r w:rsidRPr="00F11E57">
        <w:rPr>
          <w:spacing w:val="-8"/>
          <w:lang w:val="en-GB"/>
        </w:rPr>
        <w:t xml:space="preserve"> </w:t>
      </w:r>
      <w:r w:rsidRPr="00F11E57">
        <w:rPr>
          <w:lang w:val="en-GB"/>
        </w:rPr>
        <w:t>and</w:t>
      </w:r>
    </w:p>
    <w:p w14:paraId="383FFE95" w14:textId="77777777" w:rsidR="00AB5574" w:rsidRPr="00F11E57" w:rsidRDefault="006F79B6" w:rsidP="00641A58">
      <w:pPr>
        <w:pStyle w:val="ListParagraph"/>
        <w:numPr>
          <w:ilvl w:val="2"/>
          <w:numId w:val="8"/>
        </w:numPr>
        <w:tabs>
          <w:tab w:val="left" w:pos="1341"/>
        </w:tabs>
        <w:spacing w:before="1" w:line="274" w:lineRule="auto"/>
        <w:rPr>
          <w:lang w:val="en-GB"/>
        </w:rPr>
      </w:pPr>
      <w:r w:rsidRPr="00F11E57">
        <w:rPr>
          <w:lang w:val="en-GB"/>
        </w:rPr>
        <w:t>the contract is not held by a transferee for</w:t>
      </w:r>
      <w:r w:rsidRPr="00F11E57">
        <w:rPr>
          <w:spacing w:val="-8"/>
          <w:lang w:val="en-GB"/>
        </w:rPr>
        <w:t xml:space="preserve"> </w:t>
      </w:r>
      <w:r w:rsidRPr="00F11E57">
        <w:rPr>
          <w:lang w:val="en-GB"/>
        </w:rPr>
        <w:t>value;</w:t>
      </w:r>
    </w:p>
    <w:p w14:paraId="0A166A61" w14:textId="77777777" w:rsidR="00AB5574" w:rsidRPr="00F11E57" w:rsidRDefault="006F79B6" w:rsidP="00641A58">
      <w:pPr>
        <w:pStyle w:val="ListParagraph"/>
        <w:numPr>
          <w:ilvl w:val="1"/>
          <w:numId w:val="8"/>
        </w:numPr>
        <w:tabs>
          <w:tab w:val="left" w:pos="981"/>
        </w:tabs>
        <w:spacing w:before="1" w:line="274" w:lineRule="auto"/>
        <w:ind w:right="732"/>
        <w:rPr>
          <w:lang w:val="en-GB"/>
        </w:rPr>
      </w:pPr>
      <w:r w:rsidRPr="00F11E57">
        <w:rPr>
          <w:lang w:val="en-GB"/>
        </w:rPr>
        <w:t>an account that is held solely by an estate if the documentation for such account includes a copy of the deceased's will or death</w:t>
      </w:r>
      <w:r w:rsidRPr="00F11E57">
        <w:rPr>
          <w:spacing w:val="-7"/>
          <w:lang w:val="en-GB"/>
        </w:rPr>
        <w:t xml:space="preserve"> </w:t>
      </w:r>
      <w:r w:rsidRPr="00F11E57">
        <w:rPr>
          <w:lang w:val="en-GB"/>
        </w:rPr>
        <w:t>certificate;</w:t>
      </w:r>
    </w:p>
    <w:p w14:paraId="18FBD352" w14:textId="77777777" w:rsidR="00AB5574" w:rsidRPr="00F11E57" w:rsidRDefault="006F79B6" w:rsidP="00641A58">
      <w:pPr>
        <w:pStyle w:val="ListParagraph"/>
        <w:numPr>
          <w:ilvl w:val="1"/>
          <w:numId w:val="8"/>
        </w:numPr>
        <w:tabs>
          <w:tab w:val="left" w:pos="981"/>
        </w:tabs>
        <w:spacing w:before="1" w:line="274" w:lineRule="auto"/>
        <w:rPr>
          <w:lang w:val="en-GB"/>
        </w:rPr>
      </w:pPr>
      <w:r w:rsidRPr="00F11E57">
        <w:rPr>
          <w:lang w:val="en-GB"/>
        </w:rPr>
        <w:t>an account established in connection with any of the</w:t>
      </w:r>
      <w:r w:rsidRPr="00F11E57">
        <w:rPr>
          <w:spacing w:val="-10"/>
          <w:lang w:val="en-GB"/>
        </w:rPr>
        <w:t xml:space="preserve"> </w:t>
      </w:r>
      <w:r w:rsidRPr="00F11E57">
        <w:rPr>
          <w:lang w:val="en-GB"/>
        </w:rPr>
        <w:t>following:</w:t>
      </w:r>
    </w:p>
    <w:p w14:paraId="0FE6C097" w14:textId="77777777" w:rsidR="00AB5574" w:rsidRPr="00F11E57" w:rsidRDefault="006F79B6" w:rsidP="00641A58">
      <w:pPr>
        <w:pStyle w:val="ListParagraph"/>
        <w:numPr>
          <w:ilvl w:val="2"/>
          <w:numId w:val="8"/>
        </w:numPr>
        <w:tabs>
          <w:tab w:val="left" w:pos="1341"/>
        </w:tabs>
        <w:spacing w:before="1" w:line="274" w:lineRule="auto"/>
        <w:rPr>
          <w:lang w:val="en-GB"/>
        </w:rPr>
      </w:pPr>
      <w:r w:rsidRPr="00F11E57">
        <w:rPr>
          <w:lang w:val="en-GB"/>
        </w:rPr>
        <w:t>a court order or</w:t>
      </w:r>
      <w:r w:rsidRPr="00F11E57">
        <w:rPr>
          <w:spacing w:val="-5"/>
          <w:lang w:val="en-GB"/>
        </w:rPr>
        <w:t xml:space="preserve"> </w:t>
      </w:r>
      <w:r w:rsidRPr="00F11E57">
        <w:rPr>
          <w:lang w:val="en-GB"/>
        </w:rPr>
        <w:t>judgment;</w:t>
      </w:r>
    </w:p>
    <w:p w14:paraId="2277257E" w14:textId="77777777" w:rsidR="00AB5574" w:rsidRPr="00F11E57" w:rsidRDefault="006F79B6" w:rsidP="00641A58">
      <w:pPr>
        <w:pStyle w:val="ListParagraph"/>
        <w:numPr>
          <w:ilvl w:val="2"/>
          <w:numId w:val="8"/>
        </w:numPr>
        <w:tabs>
          <w:tab w:val="left" w:pos="1341"/>
        </w:tabs>
        <w:spacing w:before="1" w:line="274" w:lineRule="auto"/>
        <w:ind w:right="1296"/>
        <w:rPr>
          <w:lang w:val="en-GB"/>
        </w:rPr>
      </w:pPr>
      <w:r w:rsidRPr="00F11E57">
        <w:rPr>
          <w:lang w:val="en-GB"/>
        </w:rPr>
        <w:t>a sale, exchange, or lease of real or personal property, provided that the account satisfies the following</w:t>
      </w:r>
      <w:r w:rsidRPr="00F11E57">
        <w:rPr>
          <w:spacing w:val="-5"/>
          <w:lang w:val="en-GB"/>
        </w:rPr>
        <w:t xml:space="preserve"> </w:t>
      </w:r>
      <w:r w:rsidRPr="00F11E57">
        <w:rPr>
          <w:lang w:val="en-GB"/>
        </w:rPr>
        <w:t>requirements:</w:t>
      </w:r>
    </w:p>
    <w:p w14:paraId="4FE614EF" w14:textId="77777777" w:rsidR="00AB5574" w:rsidRPr="00F11E57" w:rsidRDefault="006F79B6" w:rsidP="00641A58">
      <w:pPr>
        <w:pStyle w:val="ListParagraph"/>
        <w:numPr>
          <w:ilvl w:val="3"/>
          <w:numId w:val="8"/>
        </w:numPr>
        <w:tabs>
          <w:tab w:val="left" w:pos="1700"/>
          <w:tab w:val="left" w:pos="1701"/>
        </w:tabs>
        <w:spacing w:before="1" w:line="274" w:lineRule="auto"/>
        <w:ind w:right="707" w:hanging="282"/>
        <w:jc w:val="left"/>
        <w:rPr>
          <w:lang w:val="en-GB"/>
        </w:rPr>
      </w:pPr>
      <w:r w:rsidRPr="00F11E57">
        <w:rPr>
          <w:lang w:val="en-GB"/>
        </w:rPr>
        <w:lastRenderedPageBreak/>
        <w:t>the account is funded solely with a down payment, earnest money, deposit in an amount appropriate to secure an obligation directly related to the transaction, or a similar payment, or is funded with a Financial Asset that is deposited in the account in connection with the sale, exchange, or lease of the</w:t>
      </w:r>
      <w:r w:rsidRPr="00F11E57">
        <w:rPr>
          <w:spacing w:val="-16"/>
          <w:lang w:val="en-GB"/>
        </w:rPr>
        <w:t xml:space="preserve"> </w:t>
      </w:r>
      <w:r w:rsidRPr="00F11E57">
        <w:rPr>
          <w:lang w:val="en-GB"/>
        </w:rPr>
        <w:t>property,</w:t>
      </w:r>
    </w:p>
    <w:p w14:paraId="48BDFD93" w14:textId="77777777" w:rsidR="00AB5574" w:rsidRPr="00F11E57" w:rsidRDefault="006F79B6" w:rsidP="00641A58">
      <w:pPr>
        <w:pStyle w:val="ListParagraph"/>
        <w:numPr>
          <w:ilvl w:val="3"/>
          <w:numId w:val="8"/>
        </w:numPr>
        <w:tabs>
          <w:tab w:val="left" w:pos="1700"/>
          <w:tab w:val="left" w:pos="1701"/>
        </w:tabs>
        <w:spacing w:before="1" w:line="274" w:lineRule="auto"/>
        <w:ind w:right="719" w:hanging="282"/>
        <w:jc w:val="left"/>
        <w:rPr>
          <w:lang w:val="en-GB"/>
        </w:rPr>
      </w:pPr>
      <w:r w:rsidRPr="00F11E57">
        <w:rPr>
          <w:lang w:val="en-GB"/>
        </w:rPr>
        <w:t>the account is established and used solely to secure the obligation of the purchaser to pay the purchase price for the property, the seller to pay any contingent liability, or the lessor or lessee to pay for any damages relating to the leased property as agreed under the lease,</w:t>
      </w:r>
    </w:p>
    <w:p w14:paraId="3BB5C7B2" w14:textId="77777777" w:rsidR="00AB5574" w:rsidRPr="00F11E57" w:rsidRDefault="006F79B6" w:rsidP="00641A58">
      <w:pPr>
        <w:pStyle w:val="ListParagraph"/>
        <w:numPr>
          <w:ilvl w:val="3"/>
          <w:numId w:val="8"/>
        </w:numPr>
        <w:tabs>
          <w:tab w:val="left" w:pos="1700"/>
          <w:tab w:val="left" w:pos="1701"/>
        </w:tabs>
        <w:spacing w:before="1" w:line="274" w:lineRule="auto"/>
        <w:ind w:right="694" w:hanging="282"/>
        <w:jc w:val="left"/>
        <w:rPr>
          <w:lang w:val="en-GB"/>
        </w:rPr>
      </w:pPr>
      <w:r w:rsidRPr="00F11E57">
        <w:rPr>
          <w:lang w:val="en-GB"/>
        </w:rPr>
        <w:t>the assets of the account, including the income earned thereon, will be paid or otherwise distributed for the benefit of the purchaser, seller, lessor, or lessee (including to satisfy such person's obligation) when the property is sold, exchanged, or surrendered, or the lease</w:t>
      </w:r>
      <w:r w:rsidRPr="00F11E57">
        <w:rPr>
          <w:spacing w:val="-2"/>
          <w:lang w:val="en-GB"/>
        </w:rPr>
        <w:t xml:space="preserve"> </w:t>
      </w:r>
      <w:r w:rsidRPr="00F11E57">
        <w:rPr>
          <w:lang w:val="en-GB"/>
        </w:rPr>
        <w:t>terminates,</w:t>
      </w:r>
    </w:p>
    <w:p w14:paraId="47BAC298" w14:textId="77777777" w:rsidR="00AB5574" w:rsidRPr="00F11E57" w:rsidRDefault="006F79B6" w:rsidP="00641A58">
      <w:pPr>
        <w:pStyle w:val="ListParagraph"/>
        <w:numPr>
          <w:ilvl w:val="3"/>
          <w:numId w:val="8"/>
        </w:numPr>
        <w:tabs>
          <w:tab w:val="left" w:pos="1700"/>
          <w:tab w:val="left" w:pos="1701"/>
        </w:tabs>
        <w:spacing w:before="1" w:line="274" w:lineRule="auto"/>
        <w:ind w:right="746" w:hanging="282"/>
        <w:jc w:val="left"/>
        <w:rPr>
          <w:lang w:val="en-GB"/>
        </w:rPr>
      </w:pPr>
      <w:r w:rsidRPr="00F11E57">
        <w:rPr>
          <w:lang w:val="en-GB"/>
        </w:rPr>
        <w:t>the account is not a margin or similar account established in connection with a sale or exchange of a Financial Asset,</w:t>
      </w:r>
      <w:r w:rsidRPr="00F11E57">
        <w:rPr>
          <w:spacing w:val="-7"/>
          <w:lang w:val="en-GB"/>
        </w:rPr>
        <w:t xml:space="preserve"> </w:t>
      </w:r>
      <w:r w:rsidRPr="00F11E57">
        <w:rPr>
          <w:lang w:val="en-GB"/>
        </w:rPr>
        <w:t>and</w:t>
      </w:r>
    </w:p>
    <w:p w14:paraId="62C80D45" w14:textId="77777777" w:rsidR="00AB5574" w:rsidRPr="00F11E57" w:rsidRDefault="006F79B6" w:rsidP="00641A58">
      <w:pPr>
        <w:pStyle w:val="ListParagraph"/>
        <w:numPr>
          <w:ilvl w:val="3"/>
          <w:numId w:val="8"/>
        </w:numPr>
        <w:tabs>
          <w:tab w:val="left" w:pos="1700"/>
          <w:tab w:val="left" w:pos="1701"/>
        </w:tabs>
        <w:spacing w:before="1" w:line="274" w:lineRule="auto"/>
        <w:ind w:hanging="282"/>
        <w:jc w:val="left"/>
        <w:rPr>
          <w:lang w:val="en-GB"/>
        </w:rPr>
      </w:pPr>
      <w:r w:rsidRPr="00F11E57">
        <w:rPr>
          <w:lang w:val="en-GB"/>
        </w:rPr>
        <w:t>the account is not associated with an account described in subparagraph</w:t>
      </w:r>
      <w:r w:rsidRPr="00F11E57">
        <w:rPr>
          <w:spacing w:val="-12"/>
          <w:lang w:val="en-GB"/>
        </w:rPr>
        <w:t xml:space="preserve"> </w:t>
      </w:r>
      <w:r w:rsidRPr="00F11E57">
        <w:rPr>
          <w:lang w:val="en-GB"/>
        </w:rPr>
        <w:t>C(17)(f);</w:t>
      </w:r>
    </w:p>
    <w:p w14:paraId="2FB1F7EB" w14:textId="77777777" w:rsidR="00AB5574" w:rsidRPr="00F11E57" w:rsidRDefault="006F79B6" w:rsidP="00641A58">
      <w:pPr>
        <w:pStyle w:val="ListParagraph"/>
        <w:numPr>
          <w:ilvl w:val="2"/>
          <w:numId w:val="8"/>
        </w:numPr>
        <w:tabs>
          <w:tab w:val="left" w:pos="1341"/>
        </w:tabs>
        <w:spacing w:before="1" w:line="274" w:lineRule="auto"/>
        <w:ind w:right="924"/>
        <w:rPr>
          <w:lang w:val="en-GB"/>
        </w:rPr>
      </w:pPr>
      <w:r w:rsidRPr="00F11E57">
        <w:rPr>
          <w:lang w:val="en-GB"/>
        </w:rPr>
        <w:t>an obligation of a Financial Institution servicing a loan secured by real property to set aside a portion of a payment solely to facilitate the payment of taxes or insurance related to the real property at a later</w:t>
      </w:r>
      <w:r w:rsidRPr="00F11E57">
        <w:rPr>
          <w:spacing w:val="-7"/>
          <w:lang w:val="en-GB"/>
        </w:rPr>
        <w:t xml:space="preserve"> </w:t>
      </w:r>
      <w:r w:rsidRPr="00F11E57">
        <w:rPr>
          <w:lang w:val="en-GB"/>
        </w:rPr>
        <w:t>time;</w:t>
      </w:r>
    </w:p>
    <w:p w14:paraId="5980C2C5" w14:textId="77777777" w:rsidR="00AB5574" w:rsidRPr="00F11E57" w:rsidRDefault="006F79B6" w:rsidP="00641A58">
      <w:pPr>
        <w:pStyle w:val="ListParagraph"/>
        <w:numPr>
          <w:ilvl w:val="2"/>
          <w:numId w:val="8"/>
        </w:numPr>
        <w:tabs>
          <w:tab w:val="left" w:pos="1341"/>
        </w:tabs>
        <w:spacing w:before="1" w:line="274" w:lineRule="auto"/>
        <w:ind w:right="727"/>
        <w:rPr>
          <w:lang w:val="en-GB"/>
        </w:rPr>
      </w:pPr>
      <w:r w:rsidRPr="00F11E57">
        <w:rPr>
          <w:lang w:val="en-GB"/>
        </w:rPr>
        <w:t>an obligation of a Financial Institution solely to facilitate the payment of taxes at a later time;</w:t>
      </w:r>
    </w:p>
    <w:p w14:paraId="3BBCD596" w14:textId="77777777" w:rsidR="00AB5574" w:rsidRPr="00F11E57" w:rsidRDefault="006F79B6" w:rsidP="00641A58">
      <w:pPr>
        <w:pStyle w:val="ListParagraph"/>
        <w:numPr>
          <w:ilvl w:val="1"/>
          <w:numId w:val="8"/>
        </w:numPr>
        <w:tabs>
          <w:tab w:val="left" w:pos="981"/>
        </w:tabs>
        <w:spacing w:before="1" w:line="274" w:lineRule="auto"/>
        <w:rPr>
          <w:lang w:val="en-GB"/>
        </w:rPr>
      </w:pPr>
      <w:r w:rsidRPr="00F11E57">
        <w:rPr>
          <w:lang w:val="en-GB"/>
        </w:rPr>
        <w:t>a Depository Account that satisfies the following</w:t>
      </w:r>
      <w:r w:rsidRPr="00F11E57">
        <w:rPr>
          <w:spacing w:val="-10"/>
          <w:lang w:val="en-GB"/>
        </w:rPr>
        <w:t xml:space="preserve"> </w:t>
      </w:r>
      <w:r w:rsidRPr="00F11E57">
        <w:rPr>
          <w:lang w:val="en-GB"/>
        </w:rPr>
        <w:t>requirements:</w:t>
      </w:r>
    </w:p>
    <w:p w14:paraId="565AA30C" w14:textId="77777777" w:rsidR="00AB5574" w:rsidRPr="00F11E57" w:rsidRDefault="006F79B6" w:rsidP="00641A58">
      <w:pPr>
        <w:pStyle w:val="ListParagraph"/>
        <w:numPr>
          <w:ilvl w:val="2"/>
          <w:numId w:val="8"/>
        </w:numPr>
        <w:tabs>
          <w:tab w:val="left" w:pos="1341"/>
        </w:tabs>
        <w:spacing w:before="1" w:line="274" w:lineRule="auto"/>
        <w:ind w:right="585"/>
        <w:rPr>
          <w:lang w:val="en-GB"/>
        </w:rPr>
      </w:pPr>
      <w:r w:rsidRPr="00F11E57">
        <w:rPr>
          <w:lang w:val="en-GB"/>
        </w:rPr>
        <w:t>the account exists solely because a customer makes a payment in excess of a balance due with respect to a credit card or other revolving credit facility and the overpayment is not immediately returned to the customer;</w:t>
      </w:r>
      <w:r w:rsidRPr="00F11E57">
        <w:rPr>
          <w:spacing w:val="-2"/>
          <w:lang w:val="en-GB"/>
        </w:rPr>
        <w:t xml:space="preserve"> </w:t>
      </w:r>
      <w:r w:rsidRPr="00F11E57">
        <w:rPr>
          <w:lang w:val="en-GB"/>
        </w:rPr>
        <w:t>and</w:t>
      </w:r>
    </w:p>
    <w:p w14:paraId="733AC04A" w14:textId="55D63C48" w:rsidR="00AB5574" w:rsidRPr="00F11E57" w:rsidRDefault="006F79B6" w:rsidP="00641A58">
      <w:pPr>
        <w:pStyle w:val="ListParagraph"/>
        <w:numPr>
          <w:ilvl w:val="2"/>
          <w:numId w:val="8"/>
        </w:numPr>
        <w:tabs>
          <w:tab w:val="left" w:pos="1341"/>
        </w:tabs>
        <w:spacing w:before="1" w:line="274" w:lineRule="auto"/>
        <w:ind w:right="642"/>
        <w:rPr>
          <w:lang w:val="en-GB"/>
        </w:rPr>
      </w:pPr>
      <w:r w:rsidRPr="00F11E57">
        <w:rPr>
          <w:lang w:val="en-GB"/>
        </w:rPr>
        <w:t>beginning on or before 1 January 2017, the Financial Institution implements policies and procedures either to prevent a customer from making an overpayment in excess of USD 50 000, or to ensure that any customer overpayment in excess of that amount is refunded to the customer within 60 days, in each case applying th</w:t>
      </w:r>
      <w:r w:rsidR="00EC71C4" w:rsidRPr="00F11E57">
        <w:rPr>
          <w:lang w:val="en-GB"/>
        </w:rPr>
        <w:t>e rules set forth in paragraph D</w:t>
      </w:r>
      <w:r w:rsidRPr="00F11E57">
        <w:rPr>
          <w:lang w:val="en-GB"/>
        </w:rPr>
        <w:t xml:space="preserve"> of Section VII for currency translation. For this purpose, a customer overpayment does not refer to credit balances to the extent of disputed charges but does include credit balances resulting from merchandise</w:t>
      </w:r>
      <w:r w:rsidRPr="00F11E57">
        <w:rPr>
          <w:spacing w:val="-9"/>
          <w:lang w:val="en-GB"/>
        </w:rPr>
        <w:t xml:space="preserve"> </w:t>
      </w:r>
      <w:r w:rsidRPr="00F11E57">
        <w:rPr>
          <w:lang w:val="en-GB"/>
        </w:rPr>
        <w:t>returns;</w:t>
      </w:r>
    </w:p>
    <w:p w14:paraId="2FEFBCDD" w14:textId="77777777" w:rsidR="00AB5574" w:rsidRPr="00F11E57" w:rsidRDefault="006F79B6" w:rsidP="00641A58">
      <w:pPr>
        <w:pStyle w:val="ListParagraph"/>
        <w:numPr>
          <w:ilvl w:val="1"/>
          <w:numId w:val="8"/>
        </w:numPr>
        <w:tabs>
          <w:tab w:val="left" w:pos="981"/>
        </w:tabs>
        <w:spacing w:before="1" w:line="274" w:lineRule="auto"/>
        <w:ind w:right="873"/>
        <w:rPr>
          <w:lang w:val="en-GB"/>
        </w:rPr>
      </w:pPr>
      <w:r w:rsidRPr="00F11E57">
        <w:rPr>
          <w:lang w:val="en-GB"/>
        </w:rPr>
        <w:t xml:space="preserve">any other account that presents a low risk of being used to evade tax, </w:t>
      </w:r>
      <w:r w:rsidRPr="00F11E57">
        <w:rPr>
          <w:lang w:val="en-GB"/>
        </w:rPr>
        <w:lastRenderedPageBreak/>
        <w:t>has substantially similar characteristics to any of the accounts described in subparagraphs C(17)(a) through (f), and is included in the list of Excluded Accounts referred to in Annex 2 of these Regulations, provided that the status of such account as an Excluded Account does not frustrate the purposes of these</w:t>
      </w:r>
      <w:r w:rsidRPr="00F11E57">
        <w:rPr>
          <w:spacing w:val="-7"/>
          <w:lang w:val="en-GB"/>
        </w:rPr>
        <w:t xml:space="preserve"> </w:t>
      </w:r>
      <w:r w:rsidRPr="00F11E57">
        <w:rPr>
          <w:lang w:val="en-GB"/>
        </w:rPr>
        <w:t>Regulations.</w:t>
      </w:r>
    </w:p>
    <w:p w14:paraId="1B2D2601" w14:textId="77777777" w:rsidR="00AB5574" w:rsidRPr="00F11E57" w:rsidRDefault="00AB5574" w:rsidP="005557B1">
      <w:pPr>
        <w:pStyle w:val="BodyText"/>
        <w:spacing w:before="1" w:line="274" w:lineRule="auto"/>
        <w:ind w:firstLine="0"/>
        <w:rPr>
          <w:sz w:val="16"/>
          <w:lang w:val="en-GB"/>
        </w:rPr>
      </w:pPr>
    </w:p>
    <w:p w14:paraId="2E17C54A" w14:textId="77777777" w:rsidR="00AB5574" w:rsidRPr="00F11E57" w:rsidRDefault="006F79B6" w:rsidP="00641A58">
      <w:pPr>
        <w:pStyle w:val="ListParagraph"/>
        <w:numPr>
          <w:ilvl w:val="0"/>
          <w:numId w:val="11"/>
        </w:numPr>
        <w:tabs>
          <w:tab w:val="left" w:pos="503"/>
        </w:tabs>
        <w:spacing w:before="1" w:line="274" w:lineRule="auto"/>
        <w:ind w:left="502" w:hanging="242"/>
        <w:rPr>
          <w:b/>
          <w:lang w:val="en-GB"/>
        </w:rPr>
      </w:pPr>
      <w:r w:rsidRPr="00F11E57">
        <w:rPr>
          <w:b/>
          <w:lang w:val="en-GB"/>
        </w:rPr>
        <w:t>Reportable</w:t>
      </w:r>
      <w:r w:rsidRPr="00F11E57">
        <w:rPr>
          <w:b/>
          <w:spacing w:val="-4"/>
          <w:lang w:val="en-GB"/>
        </w:rPr>
        <w:t xml:space="preserve"> </w:t>
      </w:r>
      <w:r w:rsidRPr="00F11E57">
        <w:rPr>
          <w:b/>
          <w:lang w:val="en-GB"/>
        </w:rPr>
        <w:t>Account</w:t>
      </w:r>
    </w:p>
    <w:p w14:paraId="02AD6321" w14:textId="77777777" w:rsidR="00136E94" w:rsidRPr="00F11E57" w:rsidRDefault="00136E94" w:rsidP="00136E94">
      <w:pPr>
        <w:pStyle w:val="BodyText"/>
        <w:spacing w:before="1" w:line="274" w:lineRule="auto"/>
        <w:ind w:firstLine="0"/>
        <w:rPr>
          <w:sz w:val="16"/>
          <w:lang w:val="en-GB"/>
        </w:rPr>
      </w:pPr>
    </w:p>
    <w:p w14:paraId="33D29EB7" w14:textId="77777777" w:rsidR="00AB5574" w:rsidRPr="00F11E57" w:rsidRDefault="006F79B6" w:rsidP="00641A58">
      <w:pPr>
        <w:pStyle w:val="ListParagraph"/>
        <w:numPr>
          <w:ilvl w:val="0"/>
          <w:numId w:val="7"/>
        </w:numPr>
        <w:tabs>
          <w:tab w:val="left" w:pos="621"/>
        </w:tabs>
        <w:spacing w:before="1" w:line="274" w:lineRule="auto"/>
        <w:ind w:right="644"/>
        <w:rPr>
          <w:lang w:val="en-GB"/>
        </w:rPr>
      </w:pPr>
      <w:r w:rsidRPr="00F11E57">
        <w:rPr>
          <w:lang w:val="en-GB"/>
        </w:rPr>
        <w:t>The term “</w:t>
      </w:r>
      <w:r w:rsidRPr="00F11E57">
        <w:rPr>
          <w:b/>
          <w:lang w:val="en-GB"/>
        </w:rPr>
        <w:t>Reportable Account</w:t>
      </w:r>
      <w:r w:rsidRPr="00F11E57">
        <w:rPr>
          <w:lang w:val="en-GB"/>
        </w:rPr>
        <w:t>” means a Financial Account that is maintained by a Reporting Financial Institution and is held by one or more Reportable Persons or by a Passive NFE with one or more Controlling Persons that is a Reportable Person, provided it has been identified as such pursuant to the due diligence procedures described in Sections II through</w:t>
      </w:r>
      <w:r w:rsidRPr="00F11E57">
        <w:rPr>
          <w:spacing w:val="-17"/>
          <w:lang w:val="en-GB"/>
        </w:rPr>
        <w:t xml:space="preserve"> </w:t>
      </w:r>
      <w:r w:rsidRPr="00F11E57">
        <w:rPr>
          <w:lang w:val="en-GB"/>
        </w:rPr>
        <w:t>VII.</w:t>
      </w:r>
    </w:p>
    <w:p w14:paraId="321F9A7D" w14:textId="77777777" w:rsidR="00AB5574" w:rsidRPr="00F11E57" w:rsidRDefault="006F79B6" w:rsidP="00641A58">
      <w:pPr>
        <w:pStyle w:val="ListParagraph"/>
        <w:numPr>
          <w:ilvl w:val="0"/>
          <w:numId w:val="7"/>
        </w:numPr>
        <w:tabs>
          <w:tab w:val="left" w:pos="621"/>
        </w:tabs>
        <w:spacing w:before="1" w:line="274" w:lineRule="auto"/>
        <w:ind w:right="589"/>
        <w:rPr>
          <w:lang w:val="en-GB"/>
        </w:rPr>
      </w:pPr>
      <w:r w:rsidRPr="00F11E57">
        <w:rPr>
          <w:lang w:val="en-GB"/>
        </w:rPr>
        <w:t>The term “</w:t>
      </w:r>
      <w:r w:rsidRPr="00F11E57">
        <w:rPr>
          <w:b/>
          <w:lang w:val="en-GB"/>
        </w:rPr>
        <w:t>Reportable Person</w:t>
      </w:r>
      <w:r w:rsidRPr="00F11E57">
        <w:rPr>
          <w:lang w:val="en-GB"/>
        </w:rPr>
        <w:t>” means a Reportable Jurisdiction Person other than: (i) a corporation the stock of which is regularly traded on one or more established securities</w:t>
      </w:r>
      <w:r w:rsidRPr="00F11E57">
        <w:rPr>
          <w:spacing w:val="-28"/>
          <w:lang w:val="en-GB"/>
        </w:rPr>
        <w:t xml:space="preserve"> </w:t>
      </w:r>
      <w:r w:rsidRPr="00F11E57">
        <w:rPr>
          <w:lang w:val="en-GB"/>
        </w:rPr>
        <w:t>markets;</w:t>
      </w:r>
    </w:p>
    <w:p w14:paraId="0176763F" w14:textId="77777777" w:rsidR="00AB5574" w:rsidRPr="00F11E57" w:rsidRDefault="006F79B6" w:rsidP="005557B1">
      <w:pPr>
        <w:pStyle w:val="BodyText"/>
        <w:spacing w:before="1" w:line="274" w:lineRule="auto"/>
        <w:ind w:left="620" w:right="991" w:firstLine="0"/>
        <w:rPr>
          <w:lang w:val="en-GB"/>
        </w:rPr>
      </w:pPr>
      <w:r w:rsidRPr="00F11E57">
        <w:rPr>
          <w:lang w:val="en-GB"/>
        </w:rPr>
        <w:t>(ii) any corporation that is a Related Entity of a corporation described in clause (i); (iii) a Governmental Entity; (iv) an International Organisation; (v) a Central Bank; or (vi) a Financial Institution.</w:t>
      </w:r>
    </w:p>
    <w:p w14:paraId="38A2F148" w14:textId="77777777" w:rsidR="00AB5574" w:rsidRPr="00F11E57" w:rsidRDefault="006F79B6" w:rsidP="00641A58">
      <w:pPr>
        <w:pStyle w:val="ListParagraph"/>
        <w:numPr>
          <w:ilvl w:val="0"/>
          <w:numId w:val="7"/>
        </w:numPr>
        <w:tabs>
          <w:tab w:val="left" w:pos="621"/>
        </w:tabs>
        <w:spacing w:before="1" w:line="274" w:lineRule="auto"/>
        <w:ind w:right="869"/>
        <w:rPr>
          <w:lang w:val="en-GB"/>
        </w:rPr>
      </w:pPr>
      <w:r w:rsidRPr="00F11E57">
        <w:rPr>
          <w:lang w:val="en-GB"/>
        </w:rPr>
        <w:t>The term “</w:t>
      </w:r>
      <w:r w:rsidRPr="00F11E57">
        <w:rPr>
          <w:b/>
          <w:lang w:val="en-GB"/>
        </w:rPr>
        <w:t>Reportable Jurisdiction Person</w:t>
      </w:r>
      <w:r w:rsidRPr="00F11E57">
        <w:rPr>
          <w:lang w:val="en-GB"/>
        </w:rPr>
        <w:t>” means an individual or Entity that is resident in a Reportable Jurisdiction under the tax laws of such jurisdiction, or an estate of a decedent that was a resident of a Reportable Jurisdiction. For this purpose, an Entity such as a partnership, limited liability partnership or similar legal arrangement, which has no residence for tax purposes shall be treated as resident in the jurisdiction in which its place of effective management is</w:t>
      </w:r>
      <w:r w:rsidRPr="00F11E57">
        <w:rPr>
          <w:spacing w:val="-3"/>
          <w:lang w:val="en-GB"/>
        </w:rPr>
        <w:t xml:space="preserve"> </w:t>
      </w:r>
      <w:r w:rsidRPr="00F11E57">
        <w:rPr>
          <w:lang w:val="en-GB"/>
        </w:rPr>
        <w:t>situated.</w:t>
      </w:r>
    </w:p>
    <w:p w14:paraId="5E0F18F1" w14:textId="77777777" w:rsidR="00AB5574" w:rsidRPr="00F11E57" w:rsidRDefault="006F79B6" w:rsidP="00641A58">
      <w:pPr>
        <w:pStyle w:val="ListParagraph"/>
        <w:numPr>
          <w:ilvl w:val="0"/>
          <w:numId w:val="7"/>
        </w:numPr>
        <w:tabs>
          <w:tab w:val="left" w:pos="621"/>
        </w:tabs>
        <w:spacing w:before="1" w:line="274" w:lineRule="auto"/>
        <w:rPr>
          <w:lang w:val="en-GB"/>
        </w:rPr>
      </w:pPr>
      <w:r w:rsidRPr="00F11E57">
        <w:rPr>
          <w:lang w:val="en-GB"/>
        </w:rPr>
        <w:t>The term “</w:t>
      </w:r>
      <w:r w:rsidRPr="00F11E57">
        <w:rPr>
          <w:b/>
          <w:lang w:val="en-GB"/>
        </w:rPr>
        <w:t>Reportable Jurisdiction</w:t>
      </w:r>
      <w:r w:rsidRPr="00F11E57">
        <w:rPr>
          <w:lang w:val="en-GB"/>
        </w:rPr>
        <w:t>”</w:t>
      </w:r>
      <w:r w:rsidRPr="00F11E57">
        <w:rPr>
          <w:spacing w:val="-4"/>
          <w:lang w:val="en-GB"/>
        </w:rPr>
        <w:t xml:space="preserve"> </w:t>
      </w:r>
      <w:r w:rsidRPr="00F11E57">
        <w:rPr>
          <w:lang w:val="en-GB"/>
        </w:rPr>
        <w:t>means:</w:t>
      </w:r>
    </w:p>
    <w:p w14:paraId="043CCD4A" w14:textId="7B0F6EC4" w:rsidR="00AB5574" w:rsidRPr="00F11E57" w:rsidRDefault="006F79B6" w:rsidP="00641A58">
      <w:pPr>
        <w:pStyle w:val="ListParagraph"/>
        <w:numPr>
          <w:ilvl w:val="1"/>
          <w:numId w:val="7"/>
        </w:numPr>
        <w:tabs>
          <w:tab w:val="left" w:pos="981"/>
        </w:tabs>
        <w:spacing w:before="1" w:line="274" w:lineRule="auto"/>
        <w:ind w:right="928"/>
        <w:jc w:val="both"/>
        <w:rPr>
          <w:lang w:val="en-GB"/>
        </w:rPr>
      </w:pPr>
      <w:r w:rsidRPr="00F11E57">
        <w:rPr>
          <w:lang w:val="en-GB"/>
        </w:rPr>
        <w:t>for the purposes of applying the due diligence procedures described in Section II to VII of these Regulations, a jurisdiction other than the United States of America, and</w:t>
      </w:r>
    </w:p>
    <w:p w14:paraId="2B9C4D67" w14:textId="037ABC36" w:rsidR="00AB5574" w:rsidRPr="00F11E57" w:rsidRDefault="006F79B6" w:rsidP="00641A58">
      <w:pPr>
        <w:pStyle w:val="ListParagraph"/>
        <w:numPr>
          <w:ilvl w:val="1"/>
          <w:numId w:val="7"/>
        </w:numPr>
        <w:tabs>
          <w:tab w:val="left" w:pos="981"/>
        </w:tabs>
        <w:spacing w:before="1" w:line="274" w:lineRule="auto"/>
        <w:ind w:right="742"/>
        <w:rPr>
          <w:lang w:val="en-GB"/>
        </w:rPr>
      </w:pPr>
      <w:r w:rsidRPr="00F11E57">
        <w:rPr>
          <w:lang w:val="en-GB"/>
        </w:rPr>
        <w:t xml:space="preserve">for the purposes of applying Section I of these Regulations, </w:t>
      </w:r>
      <w:r w:rsidR="0008370C" w:rsidRPr="00F11E57">
        <w:rPr>
          <w:lang w:val="en-GB"/>
        </w:rPr>
        <w:t>a jurisdiction other than the United States of America or the United Arab Emirates</w:t>
      </w:r>
      <w:r w:rsidRPr="00F11E57">
        <w:rPr>
          <w:lang w:val="en-GB"/>
        </w:rPr>
        <w:t>.</w:t>
      </w:r>
    </w:p>
    <w:p w14:paraId="265220C4" w14:textId="28756801" w:rsidR="00AB5574" w:rsidRPr="00F11E57" w:rsidRDefault="006F79B6" w:rsidP="00641A58">
      <w:pPr>
        <w:pStyle w:val="ListParagraph"/>
        <w:numPr>
          <w:ilvl w:val="0"/>
          <w:numId w:val="7"/>
        </w:numPr>
        <w:tabs>
          <w:tab w:val="left" w:pos="621"/>
        </w:tabs>
        <w:spacing w:before="1" w:line="274" w:lineRule="auto"/>
        <w:ind w:right="597"/>
        <w:rPr>
          <w:lang w:val="en-GB"/>
        </w:rPr>
      </w:pPr>
      <w:r w:rsidRPr="00F11E57">
        <w:rPr>
          <w:lang w:val="en-GB"/>
        </w:rPr>
        <w:t>The term “</w:t>
      </w:r>
      <w:r w:rsidRPr="00F11E57">
        <w:rPr>
          <w:b/>
          <w:lang w:val="en-GB"/>
        </w:rPr>
        <w:t>Participating Jurisdiction</w:t>
      </w:r>
      <w:r w:rsidRPr="00F11E57">
        <w:rPr>
          <w:lang w:val="en-GB"/>
        </w:rPr>
        <w:t xml:space="preserve">” means a jurisdiction which is identified in Annex </w:t>
      </w:r>
      <w:r w:rsidR="001F471C" w:rsidRPr="00F11E57">
        <w:rPr>
          <w:lang w:val="en-GB"/>
        </w:rPr>
        <w:t>3</w:t>
      </w:r>
      <w:r w:rsidRPr="00F11E57">
        <w:rPr>
          <w:lang w:val="en-GB"/>
        </w:rPr>
        <w:t xml:space="preserve"> to these Regulations.</w:t>
      </w:r>
    </w:p>
    <w:p w14:paraId="37BFC975" w14:textId="77777777" w:rsidR="00AB5574" w:rsidRPr="00F11E57" w:rsidRDefault="006F79B6" w:rsidP="00641A58">
      <w:pPr>
        <w:pStyle w:val="ListParagraph"/>
        <w:numPr>
          <w:ilvl w:val="0"/>
          <w:numId w:val="7"/>
        </w:numPr>
        <w:tabs>
          <w:tab w:val="left" w:pos="621"/>
        </w:tabs>
        <w:spacing w:before="1" w:line="274" w:lineRule="auto"/>
        <w:ind w:right="693"/>
        <w:rPr>
          <w:lang w:val="en-GB"/>
        </w:rPr>
      </w:pPr>
      <w:r w:rsidRPr="00F11E57">
        <w:rPr>
          <w:lang w:val="en-GB"/>
        </w:rPr>
        <w:t>The term “</w:t>
      </w:r>
      <w:r w:rsidRPr="00F11E57">
        <w:rPr>
          <w:b/>
          <w:lang w:val="en-GB"/>
        </w:rPr>
        <w:t>Controlling Persons</w:t>
      </w:r>
      <w:r w:rsidRPr="00F11E57">
        <w:rPr>
          <w:lang w:val="en-GB"/>
        </w:rPr>
        <w:t xml:space="preserve">” means the natural persons who exercise control over an Entity. In the case of a trust, that term means the settlor(s), the trustee(s), the protector(s) (if any), the beneficiary(ies) or class(es) of beneficiaries, and any other natural person(s) exercising ultimate effective control over the trust, and in the case of a legal arrangement other than a trust, such term means persons in equivalent or similar positions. The term “Controlling Persons” must be interpreted in a manner consistent with the </w:t>
      </w:r>
      <w:r w:rsidRPr="00F11E57">
        <w:rPr>
          <w:lang w:val="en-GB"/>
        </w:rPr>
        <w:lastRenderedPageBreak/>
        <w:t>Financial Action Task Force</w:t>
      </w:r>
      <w:r w:rsidRPr="00F11E57">
        <w:rPr>
          <w:spacing w:val="-22"/>
          <w:lang w:val="en-GB"/>
        </w:rPr>
        <w:t xml:space="preserve"> </w:t>
      </w:r>
      <w:r w:rsidRPr="00F11E57">
        <w:rPr>
          <w:lang w:val="en-GB"/>
        </w:rPr>
        <w:t>Recommendations.</w:t>
      </w:r>
    </w:p>
    <w:p w14:paraId="53A06791" w14:textId="77777777" w:rsidR="00AB5574" w:rsidRPr="00F11E57" w:rsidRDefault="006F79B6" w:rsidP="00641A58">
      <w:pPr>
        <w:pStyle w:val="ListParagraph"/>
        <w:numPr>
          <w:ilvl w:val="0"/>
          <w:numId w:val="7"/>
        </w:numPr>
        <w:tabs>
          <w:tab w:val="left" w:pos="621"/>
        </w:tabs>
        <w:spacing w:before="1" w:line="274" w:lineRule="auto"/>
        <w:rPr>
          <w:lang w:val="en-GB"/>
        </w:rPr>
      </w:pPr>
      <w:r w:rsidRPr="00F11E57">
        <w:rPr>
          <w:lang w:val="en-GB"/>
        </w:rPr>
        <w:t>The term “</w:t>
      </w:r>
      <w:r w:rsidRPr="00F11E57">
        <w:rPr>
          <w:b/>
          <w:lang w:val="en-GB"/>
        </w:rPr>
        <w:t>NFE</w:t>
      </w:r>
      <w:r w:rsidRPr="00F11E57">
        <w:rPr>
          <w:lang w:val="en-GB"/>
        </w:rPr>
        <w:t>” means any Entity that is not a Financial</w:t>
      </w:r>
      <w:r w:rsidRPr="00F11E57">
        <w:rPr>
          <w:spacing w:val="-10"/>
          <w:lang w:val="en-GB"/>
        </w:rPr>
        <w:t xml:space="preserve"> </w:t>
      </w:r>
      <w:r w:rsidRPr="00F11E57">
        <w:rPr>
          <w:lang w:val="en-GB"/>
        </w:rPr>
        <w:t>Institution.</w:t>
      </w:r>
    </w:p>
    <w:p w14:paraId="088CE6A5" w14:textId="77777777" w:rsidR="00AB5574" w:rsidRPr="00F11E57" w:rsidRDefault="006F79B6" w:rsidP="00641A58">
      <w:pPr>
        <w:pStyle w:val="ListParagraph"/>
        <w:numPr>
          <w:ilvl w:val="0"/>
          <w:numId w:val="7"/>
        </w:numPr>
        <w:tabs>
          <w:tab w:val="left" w:pos="621"/>
        </w:tabs>
        <w:spacing w:before="1" w:line="274" w:lineRule="auto"/>
        <w:ind w:right="690"/>
        <w:rPr>
          <w:lang w:val="en-GB"/>
        </w:rPr>
      </w:pPr>
      <w:r w:rsidRPr="00F11E57">
        <w:rPr>
          <w:lang w:val="en-GB"/>
        </w:rPr>
        <w:t>The term “</w:t>
      </w:r>
      <w:r w:rsidRPr="00F11E57">
        <w:rPr>
          <w:b/>
          <w:lang w:val="en-GB"/>
        </w:rPr>
        <w:t>Passive NFE</w:t>
      </w:r>
      <w:r w:rsidRPr="00F11E57">
        <w:rPr>
          <w:lang w:val="en-GB"/>
        </w:rPr>
        <w:t>” means any: (i) NFE that is not an Active NFE; or (ii) an Investment Entity described in subparagraph A(6)(b) that is not a Participating Jurisdiction Financial</w:t>
      </w:r>
      <w:r w:rsidRPr="00F11E57">
        <w:rPr>
          <w:spacing w:val="-22"/>
          <w:lang w:val="en-GB"/>
        </w:rPr>
        <w:t xml:space="preserve"> </w:t>
      </w:r>
      <w:r w:rsidRPr="00F11E57">
        <w:rPr>
          <w:lang w:val="en-GB"/>
        </w:rPr>
        <w:t>Institution.</w:t>
      </w:r>
    </w:p>
    <w:p w14:paraId="2078F0EE" w14:textId="77777777" w:rsidR="00AB5574" w:rsidRPr="00F11E57" w:rsidRDefault="006F79B6" w:rsidP="00641A58">
      <w:pPr>
        <w:pStyle w:val="ListParagraph"/>
        <w:numPr>
          <w:ilvl w:val="0"/>
          <w:numId w:val="7"/>
        </w:numPr>
        <w:tabs>
          <w:tab w:val="left" w:pos="621"/>
        </w:tabs>
        <w:spacing w:before="1" w:line="274" w:lineRule="auto"/>
        <w:rPr>
          <w:lang w:val="en-GB"/>
        </w:rPr>
      </w:pPr>
      <w:r w:rsidRPr="00F11E57">
        <w:rPr>
          <w:lang w:val="en-GB"/>
        </w:rPr>
        <w:t>The term “</w:t>
      </w:r>
      <w:r w:rsidRPr="00F11E57">
        <w:rPr>
          <w:b/>
          <w:lang w:val="en-GB"/>
        </w:rPr>
        <w:t>Active NFE</w:t>
      </w:r>
      <w:r w:rsidRPr="00F11E57">
        <w:rPr>
          <w:lang w:val="en-GB"/>
        </w:rPr>
        <w:t>” means any NFE that meets any of the following</w:t>
      </w:r>
      <w:r w:rsidRPr="00F11E57">
        <w:rPr>
          <w:spacing w:val="-17"/>
          <w:lang w:val="en-GB"/>
        </w:rPr>
        <w:t xml:space="preserve"> </w:t>
      </w:r>
      <w:r w:rsidRPr="00F11E57">
        <w:rPr>
          <w:lang w:val="en-GB"/>
        </w:rPr>
        <w:t>criteria:</w:t>
      </w:r>
    </w:p>
    <w:p w14:paraId="5ABF9BA6" w14:textId="77777777" w:rsidR="00AB5574" w:rsidRPr="00F11E57" w:rsidRDefault="006F79B6" w:rsidP="00641A58">
      <w:pPr>
        <w:pStyle w:val="ListParagraph"/>
        <w:numPr>
          <w:ilvl w:val="1"/>
          <w:numId w:val="7"/>
        </w:numPr>
        <w:tabs>
          <w:tab w:val="left" w:pos="981"/>
        </w:tabs>
        <w:spacing w:before="1" w:line="274" w:lineRule="auto"/>
        <w:ind w:right="859"/>
        <w:rPr>
          <w:lang w:val="en-GB"/>
        </w:rPr>
      </w:pPr>
      <w:r w:rsidRPr="00F11E57">
        <w:rPr>
          <w:lang w:val="en-GB"/>
        </w:rPr>
        <w:t>less than 50% of the NFE's gross income for the preceding calendar year is passive income and less than 50% of the assets held by the NFE during the preceding calendar year are assets that produce or are held for the production of passive</w:t>
      </w:r>
      <w:r w:rsidRPr="00F11E57">
        <w:rPr>
          <w:spacing w:val="-14"/>
          <w:lang w:val="en-GB"/>
        </w:rPr>
        <w:t xml:space="preserve"> </w:t>
      </w:r>
      <w:r w:rsidRPr="00F11E57">
        <w:rPr>
          <w:lang w:val="en-GB"/>
        </w:rPr>
        <w:t>income;</w:t>
      </w:r>
    </w:p>
    <w:p w14:paraId="03C30A32" w14:textId="77777777" w:rsidR="00AB5574" w:rsidRPr="00F11E57" w:rsidRDefault="006F79B6" w:rsidP="00641A58">
      <w:pPr>
        <w:pStyle w:val="ListParagraph"/>
        <w:numPr>
          <w:ilvl w:val="1"/>
          <w:numId w:val="7"/>
        </w:numPr>
        <w:tabs>
          <w:tab w:val="left" w:pos="981"/>
        </w:tabs>
        <w:spacing w:before="1" w:line="274" w:lineRule="auto"/>
        <w:ind w:right="684"/>
        <w:rPr>
          <w:lang w:val="en-GB"/>
        </w:rPr>
      </w:pPr>
      <w:r w:rsidRPr="00F11E57">
        <w:rPr>
          <w:lang w:val="en-GB"/>
        </w:rPr>
        <w:t>the stock of the NFE is regularly traded on an established securities market or the NFE is a Related Entity of an Entity the stock of which is regularly traded on an established securities market;</w:t>
      </w:r>
    </w:p>
    <w:p w14:paraId="6C6AE04D" w14:textId="77777777" w:rsidR="00AB5574" w:rsidRPr="00F11E57" w:rsidRDefault="006F79B6" w:rsidP="00641A58">
      <w:pPr>
        <w:pStyle w:val="ListParagraph"/>
        <w:numPr>
          <w:ilvl w:val="1"/>
          <w:numId w:val="7"/>
        </w:numPr>
        <w:tabs>
          <w:tab w:val="left" w:pos="981"/>
        </w:tabs>
        <w:spacing w:before="1" w:line="274" w:lineRule="auto"/>
        <w:ind w:right="663"/>
        <w:rPr>
          <w:lang w:val="en-GB"/>
        </w:rPr>
      </w:pPr>
      <w:r w:rsidRPr="00F11E57">
        <w:rPr>
          <w:lang w:val="en-GB"/>
        </w:rPr>
        <w:t>the NFE is a Governmental Entity, an International Organisation, a Central Bank, or an Entity wholly owned by one or more of the</w:t>
      </w:r>
      <w:r w:rsidRPr="00F11E57">
        <w:rPr>
          <w:spacing w:val="-12"/>
          <w:lang w:val="en-GB"/>
        </w:rPr>
        <w:t xml:space="preserve"> </w:t>
      </w:r>
      <w:r w:rsidRPr="00F11E57">
        <w:rPr>
          <w:lang w:val="en-GB"/>
        </w:rPr>
        <w:t>foregoing;</w:t>
      </w:r>
    </w:p>
    <w:p w14:paraId="5B2BD664" w14:textId="77777777" w:rsidR="00AB5574" w:rsidRPr="00F11E57" w:rsidRDefault="006F79B6" w:rsidP="00641A58">
      <w:pPr>
        <w:pStyle w:val="ListParagraph"/>
        <w:numPr>
          <w:ilvl w:val="1"/>
          <w:numId w:val="7"/>
        </w:numPr>
        <w:tabs>
          <w:tab w:val="left" w:pos="981"/>
        </w:tabs>
        <w:spacing w:before="1" w:line="274" w:lineRule="auto"/>
        <w:ind w:right="636"/>
        <w:rPr>
          <w:lang w:val="en-GB"/>
        </w:rPr>
      </w:pPr>
      <w:r w:rsidRPr="00F11E57">
        <w:rPr>
          <w:lang w:val="en-GB"/>
        </w:rPr>
        <w:t>substantially all of the activities of the NFE consist of holding (in whole or in part) the outstanding stock of, or providing financing and services to, one or more subsidiaries that engage in trades or businesses other than the business of a Financial Institution, except that an Entity does not qualify for this status if the Entity functions (or holds itself out) as an investment fund, such as a private equity fund, venture capital fund, leveraged buyout fund, or any investment vehicle whose purpose is to acquire or fund companies and then hold interests in those companies as capital assets for investment</w:t>
      </w:r>
      <w:r w:rsidRPr="00F11E57">
        <w:rPr>
          <w:spacing w:val="-13"/>
          <w:lang w:val="en-GB"/>
        </w:rPr>
        <w:t xml:space="preserve"> </w:t>
      </w:r>
      <w:r w:rsidRPr="00F11E57">
        <w:rPr>
          <w:lang w:val="en-GB"/>
        </w:rPr>
        <w:t>purposes;</w:t>
      </w:r>
    </w:p>
    <w:p w14:paraId="3BCCB43D" w14:textId="77777777" w:rsidR="00AB5574" w:rsidRPr="00F11E57" w:rsidRDefault="006F79B6" w:rsidP="00641A58">
      <w:pPr>
        <w:pStyle w:val="ListParagraph"/>
        <w:numPr>
          <w:ilvl w:val="1"/>
          <w:numId w:val="7"/>
        </w:numPr>
        <w:tabs>
          <w:tab w:val="left" w:pos="981"/>
        </w:tabs>
        <w:spacing w:before="1" w:line="274" w:lineRule="auto"/>
        <w:ind w:right="625"/>
        <w:rPr>
          <w:lang w:val="en-GB"/>
        </w:rPr>
      </w:pPr>
      <w:r w:rsidRPr="00F11E57">
        <w:rPr>
          <w:lang w:val="en-GB"/>
        </w:rPr>
        <w:t>the NFE is not yet operating a business and has no prior operating history, but is investing capital into assets with the intent to operate a business other than that of a Financial Institution, provided that the NFE does not qualify for this exception after the date that is 24 months after the date of the initial organisation of the</w:t>
      </w:r>
      <w:r w:rsidRPr="00F11E57">
        <w:rPr>
          <w:spacing w:val="-17"/>
          <w:lang w:val="en-GB"/>
        </w:rPr>
        <w:t xml:space="preserve"> </w:t>
      </w:r>
      <w:r w:rsidRPr="00F11E57">
        <w:rPr>
          <w:lang w:val="en-GB"/>
        </w:rPr>
        <w:t>NFE;</w:t>
      </w:r>
    </w:p>
    <w:p w14:paraId="372B4FF1" w14:textId="77777777" w:rsidR="00AB5574" w:rsidRPr="00F11E57" w:rsidRDefault="006F79B6" w:rsidP="00641A58">
      <w:pPr>
        <w:pStyle w:val="ListParagraph"/>
        <w:numPr>
          <w:ilvl w:val="1"/>
          <w:numId w:val="7"/>
        </w:numPr>
        <w:tabs>
          <w:tab w:val="left" w:pos="981"/>
        </w:tabs>
        <w:spacing w:before="1" w:line="274" w:lineRule="auto"/>
        <w:ind w:right="1407"/>
        <w:rPr>
          <w:lang w:val="en-GB"/>
        </w:rPr>
      </w:pPr>
      <w:r w:rsidRPr="00F11E57">
        <w:rPr>
          <w:lang w:val="en-GB"/>
        </w:rPr>
        <w:t>the NFE was not a Financial Institution in the past five years, and is in the process of liquidating its assets or is reorganising with the intent to continue or recommence operations in a business other than that of a Financial</w:t>
      </w:r>
      <w:r w:rsidRPr="00F11E57">
        <w:rPr>
          <w:spacing w:val="-16"/>
          <w:lang w:val="en-GB"/>
        </w:rPr>
        <w:t xml:space="preserve"> </w:t>
      </w:r>
      <w:r w:rsidRPr="00F11E57">
        <w:rPr>
          <w:lang w:val="en-GB"/>
        </w:rPr>
        <w:t>Institution;</w:t>
      </w:r>
    </w:p>
    <w:p w14:paraId="13A6AAD8" w14:textId="77777777" w:rsidR="00AB5574" w:rsidRPr="00F11E57" w:rsidRDefault="006F79B6" w:rsidP="00641A58">
      <w:pPr>
        <w:pStyle w:val="ListParagraph"/>
        <w:numPr>
          <w:ilvl w:val="1"/>
          <w:numId w:val="7"/>
        </w:numPr>
        <w:tabs>
          <w:tab w:val="left" w:pos="981"/>
        </w:tabs>
        <w:spacing w:before="1" w:line="274" w:lineRule="auto"/>
        <w:ind w:right="609"/>
        <w:rPr>
          <w:lang w:val="en-GB"/>
        </w:rPr>
      </w:pPr>
      <w:r w:rsidRPr="00F11E57">
        <w:rPr>
          <w:lang w:val="en-GB"/>
        </w:rPr>
        <w:t>the NFE primarily engages in financing and hedging transactions with, or for, Related Entities that are not Financial Institutions, and does not provide financing or hedging services to any Entity that is not a Related Entity, provided that the group of any such Related Entities is primarily engaged in a business other than that of a Financial Institution;</w:t>
      </w:r>
      <w:r w:rsidRPr="00F11E57">
        <w:rPr>
          <w:spacing w:val="-15"/>
          <w:lang w:val="en-GB"/>
        </w:rPr>
        <w:t xml:space="preserve"> </w:t>
      </w:r>
      <w:r w:rsidRPr="00F11E57">
        <w:rPr>
          <w:lang w:val="en-GB"/>
        </w:rPr>
        <w:t>or</w:t>
      </w:r>
    </w:p>
    <w:p w14:paraId="7BF4CF38" w14:textId="77777777" w:rsidR="00AB5574" w:rsidRPr="00F11E57" w:rsidRDefault="006F79B6" w:rsidP="00641A58">
      <w:pPr>
        <w:pStyle w:val="ListParagraph"/>
        <w:numPr>
          <w:ilvl w:val="1"/>
          <w:numId w:val="7"/>
        </w:numPr>
        <w:tabs>
          <w:tab w:val="left" w:pos="981"/>
        </w:tabs>
        <w:spacing w:before="1" w:line="274" w:lineRule="auto"/>
        <w:rPr>
          <w:lang w:val="en-GB"/>
        </w:rPr>
      </w:pPr>
      <w:r w:rsidRPr="00F11E57">
        <w:rPr>
          <w:lang w:val="en-GB"/>
        </w:rPr>
        <w:t>the NFE meets all of the following</w:t>
      </w:r>
      <w:r w:rsidRPr="00F11E57">
        <w:rPr>
          <w:spacing w:val="-10"/>
          <w:lang w:val="en-GB"/>
        </w:rPr>
        <w:t xml:space="preserve"> </w:t>
      </w:r>
      <w:r w:rsidRPr="00F11E57">
        <w:rPr>
          <w:lang w:val="en-GB"/>
        </w:rPr>
        <w:t>requirements:</w:t>
      </w:r>
    </w:p>
    <w:p w14:paraId="79BEA4BB" w14:textId="77777777" w:rsidR="00AB5574" w:rsidRPr="00F11E57" w:rsidRDefault="006F79B6" w:rsidP="00641A58">
      <w:pPr>
        <w:pStyle w:val="ListParagraph"/>
        <w:numPr>
          <w:ilvl w:val="2"/>
          <w:numId w:val="7"/>
        </w:numPr>
        <w:tabs>
          <w:tab w:val="left" w:pos="1341"/>
        </w:tabs>
        <w:spacing w:before="1" w:line="274" w:lineRule="auto"/>
        <w:ind w:right="649"/>
        <w:rPr>
          <w:lang w:val="en-GB"/>
        </w:rPr>
      </w:pPr>
      <w:r w:rsidRPr="00F11E57">
        <w:rPr>
          <w:lang w:val="en-GB"/>
        </w:rPr>
        <w:t xml:space="preserve">it is established and operated in its jurisdiction of residence exclusively for religious, charitable, scientific, artistic, cultural, athletic, or </w:t>
      </w:r>
      <w:r w:rsidRPr="00F11E57">
        <w:rPr>
          <w:lang w:val="en-GB"/>
        </w:rPr>
        <w:lastRenderedPageBreak/>
        <w:t>educational purposes; or it is established and operated in its jurisdiction of residence and it is a professional organisation, business league, chamber of commerce, labour organisation, agricultural or horticultural organisation, civic league or an organisation operated exclusively for the promotion of social</w:t>
      </w:r>
      <w:r w:rsidRPr="00F11E57">
        <w:rPr>
          <w:spacing w:val="-6"/>
          <w:lang w:val="en-GB"/>
        </w:rPr>
        <w:t xml:space="preserve"> </w:t>
      </w:r>
      <w:r w:rsidRPr="00F11E57">
        <w:rPr>
          <w:lang w:val="en-GB"/>
        </w:rPr>
        <w:t>welfare;</w:t>
      </w:r>
    </w:p>
    <w:p w14:paraId="21C290D9" w14:textId="77777777" w:rsidR="00AB5574" w:rsidRPr="00F11E57" w:rsidRDefault="006F79B6" w:rsidP="00641A58">
      <w:pPr>
        <w:pStyle w:val="ListParagraph"/>
        <w:numPr>
          <w:ilvl w:val="2"/>
          <w:numId w:val="7"/>
        </w:numPr>
        <w:tabs>
          <w:tab w:val="left" w:pos="1341"/>
        </w:tabs>
        <w:spacing w:before="1" w:line="274" w:lineRule="auto"/>
        <w:rPr>
          <w:lang w:val="en-GB"/>
        </w:rPr>
      </w:pPr>
      <w:r w:rsidRPr="00F11E57">
        <w:rPr>
          <w:lang w:val="en-GB"/>
        </w:rPr>
        <w:t>it is exempt from income tax in its jurisdiction of</w:t>
      </w:r>
      <w:r w:rsidRPr="00F11E57">
        <w:rPr>
          <w:spacing w:val="-6"/>
          <w:lang w:val="en-GB"/>
        </w:rPr>
        <w:t xml:space="preserve"> </w:t>
      </w:r>
      <w:r w:rsidRPr="00F11E57">
        <w:rPr>
          <w:lang w:val="en-GB"/>
        </w:rPr>
        <w:t>residence;</w:t>
      </w:r>
    </w:p>
    <w:p w14:paraId="403B9280" w14:textId="77777777" w:rsidR="00AB5574" w:rsidRPr="00F11E57" w:rsidRDefault="006F79B6" w:rsidP="00641A58">
      <w:pPr>
        <w:pStyle w:val="ListParagraph"/>
        <w:numPr>
          <w:ilvl w:val="2"/>
          <w:numId w:val="7"/>
        </w:numPr>
        <w:tabs>
          <w:tab w:val="left" w:pos="1341"/>
        </w:tabs>
        <w:spacing w:before="1" w:line="274" w:lineRule="auto"/>
        <w:ind w:right="889"/>
        <w:rPr>
          <w:lang w:val="en-GB"/>
        </w:rPr>
      </w:pPr>
      <w:r w:rsidRPr="00F11E57">
        <w:rPr>
          <w:lang w:val="en-GB"/>
        </w:rPr>
        <w:t>it has no shareholders or members who have a proprietary or beneficial interest in its income or</w:t>
      </w:r>
      <w:r w:rsidRPr="00F11E57">
        <w:rPr>
          <w:spacing w:val="-3"/>
          <w:lang w:val="en-GB"/>
        </w:rPr>
        <w:t xml:space="preserve"> </w:t>
      </w:r>
      <w:r w:rsidRPr="00F11E57">
        <w:rPr>
          <w:lang w:val="en-GB"/>
        </w:rPr>
        <w:t>assets;</w:t>
      </w:r>
    </w:p>
    <w:p w14:paraId="486FFEC8" w14:textId="77777777" w:rsidR="00AB5574" w:rsidRPr="00F11E57" w:rsidRDefault="006F79B6" w:rsidP="00641A58">
      <w:pPr>
        <w:pStyle w:val="ListParagraph"/>
        <w:numPr>
          <w:ilvl w:val="2"/>
          <w:numId w:val="7"/>
        </w:numPr>
        <w:tabs>
          <w:tab w:val="left" w:pos="1341"/>
        </w:tabs>
        <w:spacing w:before="1" w:line="274" w:lineRule="auto"/>
        <w:ind w:right="689"/>
        <w:rPr>
          <w:lang w:val="en-GB"/>
        </w:rPr>
      </w:pPr>
      <w:r w:rsidRPr="00F11E57">
        <w:rPr>
          <w:lang w:val="en-GB"/>
        </w:rPr>
        <w:t>the applicable laws of the NFE's jurisdiction of residence or the NFE's formation documents do not permit any income or assets of the NFE to be distributed to, or applied for the benefit of, a private person or non-charitable Entity other than pursuant to the conduct of the NFE's charitable activities, or as payment of reasonable compensation for services rendered, or as payment representing the fair market value of property which the NFE has purchased;</w:t>
      </w:r>
      <w:r w:rsidRPr="00F11E57">
        <w:rPr>
          <w:spacing w:val="-6"/>
          <w:lang w:val="en-GB"/>
        </w:rPr>
        <w:t xml:space="preserve"> </w:t>
      </w:r>
      <w:r w:rsidRPr="00F11E57">
        <w:rPr>
          <w:lang w:val="en-GB"/>
        </w:rPr>
        <w:t>and</w:t>
      </w:r>
    </w:p>
    <w:p w14:paraId="677C38B8" w14:textId="77777777" w:rsidR="00AB5574" w:rsidRPr="00F11E57" w:rsidRDefault="006F79B6" w:rsidP="00641A58">
      <w:pPr>
        <w:pStyle w:val="ListParagraph"/>
        <w:numPr>
          <w:ilvl w:val="2"/>
          <w:numId w:val="7"/>
        </w:numPr>
        <w:tabs>
          <w:tab w:val="left" w:pos="1341"/>
        </w:tabs>
        <w:spacing w:before="1" w:line="274" w:lineRule="auto"/>
        <w:ind w:right="695"/>
        <w:rPr>
          <w:lang w:val="en-GB"/>
        </w:rPr>
      </w:pPr>
      <w:r w:rsidRPr="00F11E57">
        <w:rPr>
          <w:lang w:val="en-GB"/>
        </w:rPr>
        <w:t>the applicable laws of the NFE's jurisdiction of residence or the NFE's formation documents require that, upon the NFE's liquidation or dissolution, all of its assets be distributed to a Governmental Entity or other non-profit organisation, or escheat to the government of the NFE's jurisdiction of residence or any political subdivision</w:t>
      </w:r>
      <w:r w:rsidRPr="00F11E57">
        <w:rPr>
          <w:spacing w:val="-20"/>
          <w:lang w:val="en-GB"/>
        </w:rPr>
        <w:t xml:space="preserve"> </w:t>
      </w:r>
      <w:r w:rsidRPr="00F11E57">
        <w:rPr>
          <w:lang w:val="en-GB"/>
        </w:rPr>
        <w:t>thereof.</w:t>
      </w:r>
    </w:p>
    <w:p w14:paraId="2398CA61" w14:textId="77777777" w:rsidR="00AB5574" w:rsidRPr="00F11E57" w:rsidRDefault="00AB5574" w:rsidP="005557B1">
      <w:pPr>
        <w:pStyle w:val="BodyText"/>
        <w:spacing w:before="1" w:line="274" w:lineRule="auto"/>
        <w:ind w:firstLine="0"/>
        <w:rPr>
          <w:sz w:val="16"/>
          <w:lang w:val="en-GB"/>
        </w:rPr>
      </w:pPr>
    </w:p>
    <w:p w14:paraId="3798B56B" w14:textId="77777777" w:rsidR="00AB5574" w:rsidRPr="00F11E57" w:rsidRDefault="006F79B6" w:rsidP="00641A58">
      <w:pPr>
        <w:pStyle w:val="ListParagraph"/>
        <w:numPr>
          <w:ilvl w:val="0"/>
          <w:numId w:val="11"/>
        </w:numPr>
        <w:tabs>
          <w:tab w:val="left" w:pos="475"/>
        </w:tabs>
        <w:spacing w:before="1" w:line="274" w:lineRule="auto"/>
        <w:ind w:left="474" w:hanging="214"/>
        <w:rPr>
          <w:b/>
          <w:lang w:val="en-GB"/>
        </w:rPr>
      </w:pPr>
      <w:r w:rsidRPr="00F11E57">
        <w:rPr>
          <w:b/>
          <w:lang w:val="en-GB"/>
        </w:rPr>
        <w:t>Miscellaneous</w:t>
      </w:r>
    </w:p>
    <w:p w14:paraId="263FDDC4" w14:textId="77777777" w:rsidR="00136E94" w:rsidRPr="00F11E57" w:rsidRDefault="00136E94" w:rsidP="00136E94">
      <w:pPr>
        <w:pStyle w:val="BodyText"/>
        <w:spacing w:before="1" w:line="274" w:lineRule="auto"/>
        <w:ind w:firstLine="0"/>
        <w:rPr>
          <w:sz w:val="16"/>
          <w:lang w:val="en-GB"/>
        </w:rPr>
      </w:pPr>
    </w:p>
    <w:p w14:paraId="2CB69A6E" w14:textId="3E0F8EF4" w:rsidR="00AB5574" w:rsidRPr="00F11E57" w:rsidRDefault="006F79B6" w:rsidP="00641A58">
      <w:pPr>
        <w:pStyle w:val="ListParagraph"/>
        <w:numPr>
          <w:ilvl w:val="0"/>
          <w:numId w:val="6"/>
        </w:numPr>
        <w:tabs>
          <w:tab w:val="left" w:pos="621"/>
        </w:tabs>
        <w:spacing w:before="1" w:line="274" w:lineRule="auto"/>
        <w:ind w:right="592"/>
        <w:rPr>
          <w:lang w:val="en-GB"/>
        </w:rPr>
      </w:pPr>
      <w:r w:rsidRPr="00F11E57">
        <w:rPr>
          <w:lang w:val="en-GB"/>
        </w:rPr>
        <w:t>The term “</w:t>
      </w:r>
      <w:r w:rsidRPr="00F11E57">
        <w:rPr>
          <w:b/>
          <w:lang w:val="en-GB"/>
        </w:rPr>
        <w:t>Account Holder</w:t>
      </w:r>
      <w:r w:rsidRPr="00F11E57">
        <w:rPr>
          <w:lang w:val="en-GB"/>
        </w:rPr>
        <w:t>” means the person listed or identified as the holder of a Financial Account by the Financial Institution that maintains the</w:t>
      </w:r>
      <w:r w:rsidR="00641833" w:rsidRPr="00F11E57">
        <w:rPr>
          <w:lang w:val="en-GB"/>
        </w:rPr>
        <w:t xml:space="preserve"> </w:t>
      </w:r>
      <w:r w:rsidR="00787240" w:rsidRPr="00F11E57">
        <w:rPr>
          <w:lang w:val="en-GB"/>
        </w:rPr>
        <w:t>Financial</w:t>
      </w:r>
      <w:r w:rsidRPr="00F11E57">
        <w:rPr>
          <w:lang w:val="en-GB"/>
        </w:rPr>
        <w:t xml:space="preserve"> </w:t>
      </w:r>
      <w:r w:rsidR="00641833" w:rsidRPr="00F11E57">
        <w:rPr>
          <w:lang w:val="en-GB"/>
        </w:rPr>
        <w:t>A</w:t>
      </w:r>
      <w:r w:rsidRPr="00F11E57">
        <w:rPr>
          <w:lang w:val="en-GB"/>
        </w:rPr>
        <w:t>ccount. A person, other than a Financial Institution, holding a Financial Account for the benefit or account of another person as agent, custodian, nominee, signatory, investment advisor, or intermediary, is not treated as holding the account for purposes of th</w:t>
      </w:r>
      <w:r w:rsidR="00787240" w:rsidRPr="00F11E57">
        <w:rPr>
          <w:lang w:val="en-GB"/>
        </w:rPr>
        <w:t>e</w:t>
      </w:r>
      <w:r w:rsidRPr="00F11E57">
        <w:rPr>
          <w:lang w:val="en-GB"/>
        </w:rPr>
        <w:t>s</w:t>
      </w:r>
      <w:r w:rsidR="00787240" w:rsidRPr="00F11E57">
        <w:rPr>
          <w:lang w:val="en-GB"/>
        </w:rPr>
        <w:t>e</w:t>
      </w:r>
      <w:r w:rsidRPr="00F11E57">
        <w:rPr>
          <w:lang w:val="en-GB"/>
        </w:rPr>
        <w:t xml:space="preserve"> </w:t>
      </w:r>
      <w:r w:rsidR="00787240" w:rsidRPr="00F11E57">
        <w:rPr>
          <w:lang w:val="en-GB"/>
        </w:rPr>
        <w:t>Regulations</w:t>
      </w:r>
      <w:r w:rsidRPr="00F11E57">
        <w:rPr>
          <w:lang w:val="en-GB"/>
        </w:rPr>
        <w:t xml:space="preserve">, and such other person is treated as holding the </w:t>
      </w:r>
      <w:r w:rsidR="00045980" w:rsidRPr="00F11E57">
        <w:rPr>
          <w:lang w:val="en-GB"/>
        </w:rPr>
        <w:t>Financial A</w:t>
      </w:r>
      <w:r w:rsidRPr="00F11E57">
        <w:rPr>
          <w:lang w:val="en-GB"/>
        </w:rPr>
        <w:t>ccount. In the case of a Cash Value Insurance Contract or an Annuity Contract, the Account Holder is any person entitled to access the Cash Value or change the beneficiary of the contract. If no person can access the Cash Value or change the beneficiary, the Account Holder is any person named as the owner in the contract and any person with a vested entitlement to payment under the terms of the contract. Upon the maturity of a Cash Value Insurance Contract or an Annuity Contract, each person entitled to receive a payment under the contract is treated as an Account</w:t>
      </w:r>
      <w:r w:rsidRPr="00F11E57">
        <w:rPr>
          <w:spacing w:val="-17"/>
          <w:lang w:val="en-GB"/>
        </w:rPr>
        <w:t xml:space="preserve"> </w:t>
      </w:r>
      <w:r w:rsidRPr="00F11E57">
        <w:rPr>
          <w:lang w:val="en-GB"/>
        </w:rPr>
        <w:t>Holder.</w:t>
      </w:r>
    </w:p>
    <w:p w14:paraId="2071F788" w14:textId="0E5A376C" w:rsidR="00487FAB" w:rsidRPr="00F11E57" w:rsidRDefault="006F79B6" w:rsidP="00487FAB">
      <w:pPr>
        <w:pStyle w:val="ListParagraph"/>
        <w:numPr>
          <w:ilvl w:val="0"/>
          <w:numId w:val="6"/>
        </w:numPr>
        <w:tabs>
          <w:tab w:val="left" w:pos="621"/>
        </w:tabs>
        <w:spacing w:before="1" w:line="274" w:lineRule="auto"/>
        <w:ind w:right="739"/>
        <w:rPr>
          <w:lang w:val="en-GB"/>
        </w:rPr>
      </w:pPr>
      <w:r w:rsidRPr="00F11E57">
        <w:rPr>
          <w:lang w:val="en-GB"/>
        </w:rPr>
        <w:t>The term “</w:t>
      </w:r>
      <w:r w:rsidRPr="00F11E57">
        <w:rPr>
          <w:b/>
          <w:lang w:val="en-GB"/>
        </w:rPr>
        <w:t>AML/KYC Procedures</w:t>
      </w:r>
      <w:r w:rsidRPr="00F11E57">
        <w:rPr>
          <w:lang w:val="en-GB"/>
        </w:rPr>
        <w:t xml:space="preserve">” means the customer due diligence procedures of a Reporting Financial Institution pursuant to the anti-money </w:t>
      </w:r>
      <w:r w:rsidRPr="00F11E57">
        <w:rPr>
          <w:lang w:val="en-GB"/>
        </w:rPr>
        <w:lastRenderedPageBreak/>
        <w:t>laundering or similar requirements to which such Reporting Financial Institution is subject under domestic</w:t>
      </w:r>
      <w:r w:rsidRPr="00F11E57">
        <w:rPr>
          <w:spacing w:val="-13"/>
          <w:lang w:val="en-GB"/>
        </w:rPr>
        <w:t xml:space="preserve"> </w:t>
      </w:r>
      <w:r w:rsidRPr="00F11E57">
        <w:rPr>
          <w:lang w:val="en-GB"/>
        </w:rPr>
        <w:t>law.</w:t>
      </w:r>
      <w:r w:rsidR="00020823" w:rsidRPr="00F11E57">
        <w:rPr>
          <w:lang w:val="en-GB"/>
        </w:rPr>
        <w:t xml:space="preserve"> To the extent the AML/KYC Procedures (i) do not require the collection of certain </w:t>
      </w:r>
      <w:r w:rsidR="00B244C2" w:rsidRPr="00F11E57">
        <w:rPr>
          <w:lang w:val="en-GB"/>
        </w:rPr>
        <w:t xml:space="preserve">documentation </w:t>
      </w:r>
      <w:r w:rsidR="00060F8A" w:rsidRPr="00F11E57">
        <w:rPr>
          <w:lang w:val="en-GB"/>
        </w:rPr>
        <w:t>as set out in these Regulations</w:t>
      </w:r>
      <w:r w:rsidR="00E75C2F" w:rsidRPr="00F11E57">
        <w:rPr>
          <w:lang w:val="en-GB"/>
        </w:rPr>
        <w:t xml:space="preserve">, the Reporting Financial Institution is required to collect </w:t>
      </w:r>
      <w:r w:rsidR="00487FAB" w:rsidRPr="00F11E57">
        <w:rPr>
          <w:lang w:val="en-GB"/>
        </w:rPr>
        <w:t>such</w:t>
      </w:r>
      <w:r w:rsidR="00E75C2F" w:rsidRPr="00F11E57">
        <w:rPr>
          <w:lang w:val="en-GB"/>
        </w:rPr>
        <w:t xml:space="preserve"> documentation </w:t>
      </w:r>
      <w:r w:rsidR="00487FAB" w:rsidRPr="00F11E57">
        <w:rPr>
          <w:lang w:val="en-GB"/>
        </w:rPr>
        <w:t>that will</w:t>
      </w:r>
      <w:r w:rsidR="00E75C2F" w:rsidRPr="00F11E57">
        <w:rPr>
          <w:lang w:val="en-GB"/>
        </w:rPr>
        <w:t xml:space="preserve"> enable it to comply with these Regulations and</w:t>
      </w:r>
      <w:r w:rsidR="00020823" w:rsidRPr="00F11E57">
        <w:rPr>
          <w:lang w:val="en-GB"/>
        </w:rPr>
        <w:t xml:space="preserve"> (ii) co</w:t>
      </w:r>
      <w:r w:rsidR="00060F8A" w:rsidRPr="00F11E57">
        <w:rPr>
          <w:lang w:val="en-GB"/>
        </w:rPr>
        <w:t>ntain definitions different to those in these Regulations</w:t>
      </w:r>
      <w:r w:rsidR="00020823" w:rsidRPr="00F11E57">
        <w:rPr>
          <w:lang w:val="en-GB"/>
        </w:rPr>
        <w:t>, the definitions and interpretation for the purpose of these Regulations shall prevail.</w:t>
      </w:r>
    </w:p>
    <w:p w14:paraId="1E886BE9" w14:textId="77777777" w:rsidR="00AB5574" w:rsidRPr="00F11E57" w:rsidRDefault="006F79B6" w:rsidP="00641A58">
      <w:pPr>
        <w:pStyle w:val="ListParagraph"/>
        <w:numPr>
          <w:ilvl w:val="0"/>
          <w:numId w:val="6"/>
        </w:numPr>
        <w:tabs>
          <w:tab w:val="left" w:pos="621"/>
        </w:tabs>
        <w:spacing w:before="1" w:line="274" w:lineRule="auto"/>
        <w:ind w:right="1563"/>
        <w:rPr>
          <w:lang w:val="en-GB"/>
        </w:rPr>
      </w:pPr>
      <w:r w:rsidRPr="00F11E57">
        <w:rPr>
          <w:lang w:val="en-GB"/>
        </w:rPr>
        <w:t>The term “</w:t>
      </w:r>
      <w:r w:rsidRPr="00F11E57">
        <w:rPr>
          <w:b/>
          <w:lang w:val="en-GB"/>
        </w:rPr>
        <w:t>Entity</w:t>
      </w:r>
      <w:r w:rsidRPr="00F11E57">
        <w:rPr>
          <w:lang w:val="en-GB"/>
        </w:rPr>
        <w:t>” means a legal person or a legal arrangement, such as a corporation, partnership, trust, or</w:t>
      </w:r>
      <w:r w:rsidRPr="00F11E57">
        <w:rPr>
          <w:spacing w:val="-6"/>
          <w:lang w:val="en-GB"/>
        </w:rPr>
        <w:t xml:space="preserve"> </w:t>
      </w:r>
      <w:r w:rsidRPr="00F11E57">
        <w:rPr>
          <w:lang w:val="en-GB"/>
        </w:rPr>
        <w:t>foundation.</w:t>
      </w:r>
    </w:p>
    <w:p w14:paraId="6B8086E7" w14:textId="72DF0F60" w:rsidR="002F0D76" w:rsidRPr="00F11E57" w:rsidRDefault="00423ABD" w:rsidP="00BF4E06">
      <w:pPr>
        <w:pStyle w:val="ListParagraph"/>
        <w:numPr>
          <w:ilvl w:val="0"/>
          <w:numId w:val="6"/>
        </w:numPr>
        <w:tabs>
          <w:tab w:val="left" w:pos="621"/>
        </w:tabs>
        <w:spacing w:before="1" w:line="274" w:lineRule="auto"/>
        <w:ind w:right="1563"/>
        <w:rPr>
          <w:lang w:val="en-GB"/>
        </w:rPr>
      </w:pPr>
      <w:r w:rsidRPr="00F11E57">
        <w:rPr>
          <w:lang w:val="en-GB"/>
        </w:rPr>
        <w:t>An Entity is a “</w:t>
      </w:r>
      <w:r w:rsidRPr="00F11E57">
        <w:rPr>
          <w:b/>
          <w:lang w:val="en-GB"/>
        </w:rPr>
        <w:t>Related Entity</w:t>
      </w:r>
      <w:r w:rsidRPr="00F11E57">
        <w:rPr>
          <w:lang w:val="en-GB"/>
        </w:rPr>
        <w:t>” of another Entity if (</w:t>
      </w:r>
      <w:r w:rsidR="007B403D" w:rsidRPr="00F11E57">
        <w:rPr>
          <w:lang w:val="en-GB"/>
        </w:rPr>
        <w:t>a</w:t>
      </w:r>
      <w:r w:rsidRPr="00F11E57">
        <w:rPr>
          <w:lang w:val="en-GB"/>
        </w:rPr>
        <w:t xml:space="preserve">) either Entity controls the other Entity; (b) the two Entities are under common control; or (c) the two Entities are Investment Entities </w:t>
      </w:r>
      <w:r w:rsidR="007B403D" w:rsidRPr="00F11E57">
        <w:rPr>
          <w:lang w:val="en-GB"/>
        </w:rPr>
        <w:t xml:space="preserve">as </w:t>
      </w:r>
      <w:r w:rsidRPr="00F11E57">
        <w:rPr>
          <w:lang w:val="en-GB"/>
        </w:rPr>
        <w:t>de</w:t>
      </w:r>
      <w:r w:rsidR="004F5E35" w:rsidRPr="00F11E57">
        <w:rPr>
          <w:lang w:val="en-GB"/>
        </w:rPr>
        <w:t>scribed in subparagraph A(6)(b),</w:t>
      </w:r>
      <w:r w:rsidRPr="00F11E57">
        <w:rPr>
          <w:lang w:val="en-GB"/>
        </w:rPr>
        <w:t xml:space="preserve"> are under common management, and such management fulfils the due diligence obligations of such Investment Entities. For this purpose “</w:t>
      </w:r>
      <w:r w:rsidRPr="00F11E57">
        <w:rPr>
          <w:b/>
          <w:lang w:val="en-GB"/>
        </w:rPr>
        <w:t>control</w:t>
      </w:r>
      <w:r w:rsidRPr="00F11E57">
        <w:rPr>
          <w:lang w:val="en-GB"/>
        </w:rPr>
        <w:t>” includes direct or indirect ownership of more than 50% of the vote and value in an Entity.</w:t>
      </w:r>
    </w:p>
    <w:p w14:paraId="610A2B0C" w14:textId="77777777" w:rsidR="00AB5574" w:rsidRPr="00F11E57" w:rsidRDefault="006F79B6" w:rsidP="00641A58">
      <w:pPr>
        <w:pStyle w:val="ListParagraph"/>
        <w:numPr>
          <w:ilvl w:val="0"/>
          <w:numId w:val="6"/>
        </w:numPr>
        <w:tabs>
          <w:tab w:val="left" w:pos="621"/>
        </w:tabs>
        <w:spacing w:before="1" w:line="274" w:lineRule="auto"/>
        <w:ind w:right="736"/>
        <w:rPr>
          <w:lang w:val="en-GB"/>
        </w:rPr>
      </w:pPr>
      <w:r w:rsidRPr="00F11E57">
        <w:rPr>
          <w:lang w:val="en-GB"/>
        </w:rPr>
        <w:t>The term “</w:t>
      </w:r>
      <w:r w:rsidRPr="00F11E57">
        <w:rPr>
          <w:b/>
          <w:lang w:val="en-GB"/>
        </w:rPr>
        <w:t>TIN</w:t>
      </w:r>
      <w:r w:rsidRPr="00F11E57">
        <w:rPr>
          <w:lang w:val="en-GB"/>
        </w:rPr>
        <w:t>” means Taxpayer Identification Number (or functional equivalent in the absence of a Taxpayer Identification</w:t>
      </w:r>
      <w:r w:rsidRPr="00F11E57">
        <w:rPr>
          <w:spacing w:val="-4"/>
          <w:lang w:val="en-GB"/>
        </w:rPr>
        <w:t xml:space="preserve"> </w:t>
      </w:r>
      <w:r w:rsidRPr="00F11E57">
        <w:rPr>
          <w:lang w:val="en-GB"/>
        </w:rPr>
        <w:t>Number).</w:t>
      </w:r>
    </w:p>
    <w:p w14:paraId="5E225A67" w14:textId="77777777" w:rsidR="00AB5574" w:rsidRPr="00F11E57" w:rsidRDefault="006F79B6" w:rsidP="00641A58">
      <w:pPr>
        <w:pStyle w:val="ListParagraph"/>
        <w:numPr>
          <w:ilvl w:val="0"/>
          <w:numId w:val="6"/>
        </w:numPr>
        <w:tabs>
          <w:tab w:val="left" w:pos="621"/>
        </w:tabs>
        <w:spacing w:before="1" w:line="274" w:lineRule="auto"/>
        <w:rPr>
          <w:lang w:val="en-GB"/>
        </w:rPr>
      </w:pPr>
      <w:r w:rsidRPr="00F11E57">
        <w:rPr>
          <w:lang w:val="en-GB"/>
        </w:rPr>
        <w:t>The term “</w:t>
      </w:r>
      <w:r w:rsidRPr="00F11E57">
        <w:rPr>
          <w:b/>
          <w:lang w:val="en-GB"/>
        </w:rPr>
        <w:t>Documentary Evidence</w:t>
      </w:r>
      <w:r w:rsidRPr="00F11E57">
        <w:rPr>
          <w:lang w:val="en-GB"/>
        </w:rPr>
        <w:t>” includes any of the</w:t>
      </w:r>
      <w:r w:rsidRPr="00F11E57">
        <w:rPr>
          <w:spacing w:val="-4"/>
          <w:lang w:val="en-GB"/>
        </w:rPr>
        <w:t xml:space="preserve"> </w:t>
      </w:r>
      <w:r w:rsidRPr="00F11E57">
        <w:rPr>
          <w:lang w:val="en-GB"/>
        </w:rPr>
        <w:t>following:</w:t>
      </w:r>
    </w:p>
    <w:p w14:paraId="66F30299" w14:textId="77777777" w:rsidR="00AB5574" w:rsidRPr="00F11E57" w:rsidRDefault="006F79B6" w:rsidP="00641A58">
      <w:pPr>
        <w:pStyle w:val="ListParagraph"/>
        <w:numPr>
          <w:ilvl w:val="1"/>
          <w:numId w:val="6"/>
        </w:numPr>
        <w:tabs>
          <w:tab w:val="left" w:pos="981"/>
        </w:tabs>
        <w:spacing w:before="1" w:line="274" w:lineRule="auto"/>
        <w:ind w:right="1121"/>
        <w:rPr>
          <w:lang w:val="en-GB"/>
        </w:rPr>
      </w:pPr>
      <w:r w:rsidRPr="00F11E57">
        <w:rPr>
          <w:lang w:val="en-GB"/>
        </w:rPr>
        <w:t>a certificate of residence issued by an authorised government body (for example, a government or agency thereof, or a municipality) of the jurisdiction in which the payee claims to be a</w:t>
      </w:r>
      <w:r w:rsidRPr="00F11E57">
        <w:rPr>
          <w:spacing w:val="-7"/>
          <w:lang w:val="en-GB"/>
        </w:rPr>
        <w:t xml:space="preserve"> </w:t>
      </w:r>
      <w:r w:rsidRPr="00F11E57">
        <w:rPr>
          <w:lang w:val="en-GB"/>
        </w:rPr>
        <w:t>resident;</w:t>
      </w:r>
    </w:p>
    <w:p w14:paraId="13B797FA" w14:textId="77777777" w:rsidR="00AB5574" w:rsidRPr="00F11E57" w:rsidRDefault="006F79B6" w:rsidP="00641A58">
      <w:pPr>
        <w:pStyle w:val="ListParagraph"/>
        <w:numPr>
          <w:ilvl w:val="1"/>
          <w:numId w:val="6"/>
        </w:numPr>
        <w:tabs>
          <w:tab w:val="left" w:pos="981"/>
        </w:tabs>
        <w:spacing w:before="1" w:line="274" w:lineRule="auto"/>
        <w:ind w:right="900"/>
        <w:rPr>
          <w:lang w:val="en-GB"/>
        </w:rPr>
      </w:pPr>
      <w:r w:rsidRPr="00F11E57">
        <w:rPr>
          <w:lang w:val="en-GB"/>
        </w:rPr>
        <w:t>with respect to an individual, any valid identification issued by an authorised government body (for example, a government or agency thereof, or a municipality), that includes the individual's name and is typically used for identification</w:t>
      </w:r>
      <w:r w:rsidRPr="00F11E57">
        <w:rPr>
          <w:spacing w:val="-2"/>
          <w:lang w:val="en-GB"/>
        </w:rPr>
        <w:t xml:space="preserve"> </w:t>
      </w:r>
      <w:r w:rsidRPr="00F11E57">
        <w:rPr>
          <w:lang w:val="en-GB"/>
        </w:rPr>
        <w:t>purposes;</w:t>
      </w:r>
    </w:p>
    <w:p w14:paraId="054E16FC" w14:textId="77777777" w:rsidR="00AB5574" w:rsidRPr="00F11E57" w:rsidRDefault="006F79B6" w:rsidP="00641A58">
      <w:pPr>
        <w:pStyle w:val="ListParagraph"/>
        <w:numPr>
          <w:ilvl w:val="1"/>
          <w:numId w:val="6"/>
        </w:numPr>
        <w:tabs>
          <w:tab w:val="left" w:pos="981"/>
        </w:tabs>
        <w:spacing w:before="1" w:line="274" w:lineRule="auto"/>
        <w:ind w:right="669"/>
        <w:rPr>
          <w:lang w:val="en-GB"/>
        </w:rPr>
      </w:pPr>
      <w:r w:rsidRPr="00F11E57">
        <w:rPr>
          <w:lang w:val="en-GB"/>
        </w:rPr>
        <w:t>with respect to an Entity, any official documentation issued by an authorised government body (for example, a government or agency thereof, or a municipality) that includes the name of the Entity and either the address of its principal office in the jurisdiction in which it claims to be a resident or the jurisdiction in which the Entity was incorporated or</w:t>
      </w:r>
      <w:r w:rsidRPr="00F11E57">
        <w:rPr>
          <w:spacing w:val="-23"/>
          <w:lang w:val="en-GB"/>
        </w:rPr>
        <w:t xml:space="preserve"> </w:t>
      </w:r>
      <w:r w:rsidRPr="00F11E57">
        <w:rPr>
          <w:lang w:val="en-GB"/>
        </w:rPr>
        <w:t>organised;</w:t>
      </w:r>
    </w:p>
    <w:p w14:paraId="076ECBFE" w14:textId="40947244" w:rsidR="0005162B" w:rsidRPr="00F11E57" w:rsidRDefault="006F79B6" w:rsidP="00641A58">
      <w:pPr>
        <w:pStyle w:val="ListParagraph"/>
        <w:numPr>
          <w:ilvl w:val="1"/>
          <w:numId w:val="6"/>
        </w:numPr>
        <w:tabs>
          <w:tab w:val="left" w:pos="981"/>
        </w:tabs>
        <w:spacing w:before="1" w:line="274" w:lineRule="auto"/>
        <w:ind w:right="900"/>
        <w:rPr>
          <w:lang w:val="en-GB"/>
        </w:rPr>
      </w:pPr>
      <w:r w:rsidRPr="00F11E57">
        <w:rPr>
          <w:lang w:val="en-GB"/>
        </w:rPr>
        <w:t>any audited financial statement, third-party credit report, bankruptcy filing, or securities regulator's</w:t>
      </w:r>
      <w:r w:rsidRPr="00F11E57">
        <w:rPr>
          <w:spacing w:val="-1"/>
          <w:lang w:val="en-GB"/>
        </w:rPr>
        <w:t xml:space="preserve"> </w:t>
      </w:r>
      <w:r w:rsidRPr="00F11E57">
        <w:rPr>
          <w:lang w:val="en-GB"/>
        </w:rPr>
        <w:t>report.</w:t>
      </w:r>
      <w:r w:rsidR="0005162B" w:rsidRPr="00F11E57">
        <w:rPr>
          <w:lang w:val="en-GB"/>
        </w:rPr>
        <w:t xml:space="preserve"> </w:t>
      </w:r>
    </w:p>
    <w:p w14:paraId="7A46D2D7" w14:textId="03057B6A" w:rsidR="00F338A0" w:rsidRPr="00F11E57" w:rsidRDefault="00F338A0" w:rsidP="005557B1">
      <w:pPr>
        <w:pStyle w:val="BodyText"/>
        <w:spacing w:before="1" w:line="274" w:lineRule="auto"/>
        <w:ind w:left="620" w:right="713" w:firstLine="0"/>
        <w:rPr>
          <w:lang w:val="en-GB"/>
        </w:rPr>
      </w:pPr>
      <w:r w:rsidRPr="00F11E57">
        <w:rPr>
          <w:lang w:val="en-GB"/>
        </w:rPr>
        <w:t xml:space="preserve">With respect to a Pre-existing Entity Account, Reporting Financial Institutions may use as Documentary Evidence any classification in the Reporting Financial Institution's records with respect to the Account Holder that was </w:t>
      </w:r>
      <w:r w:rsidRPr="00F11E57">
        <w:rPr>
          <w:lang w:val="en-GB"/>
        </w:rPr>
        <w:lastRenderedPageBreak/>
        <w:t>determined based on a standardised industry coding system, that was recorded by the Reporting Financial Institution consistent with its normal business practices for purposes of AML/KYC Procedures or another regulatory purposes (other than for tax purposes) and that was implemented by the Reporting Financial Institution prior to the date used to classify the Financial Account as a Pre-existing Account, provided that the Reporting Financial Institution does not know or does not have reason to know that such classification is incorrect or unreliable. The term “</w:t>
      </w:r>
      <w:r w:rsidRPr="00F11E57">
        <w:rPr>
          <w:b/>
          <w:bCs/>
          <w:lang w:val="en-GB"/>
        </w:rPr>
        <w:t>standardised industry coding system</w:t>
      </w:r>
      <w:r w:rsidRPr="00F11E57">
        <w:rPr>
          <w:lang w:val="en-GB"/>
        </w:rPr>
        <w:t>” means a coding system used to classify establishments by business type for purposes other than tax purposes.</w:t>
      </w:r>
    </w:p>
    <w:p w14:paraId="0DA196DC" w14:textId="659A5555" w:rsidR="008013F9" w:rsidRPr="00F11E57" w:rsidRDefault="008013F9" w:rsidP="008013F9">
      <w:pPr>
        <w:pStyle w:val="ListParagraph"/>
        <w:numPr>
          <w:ilvl w:val="0"/>
          <w:numId w:val="6"/>
        </w:numPr>
        <w:tabs>
          <w:tab w:val="left" w:pos="621"/>
        </w:tabs>
        <w:spacing w:before="1" w:line="274" w:lineRule="auto"/>
        <w:rPr>
          <w:lang w:val="en-GB"/>
        </w:rPr>
      </w:pPr>
      <w:r w:rsidRPr="00F11E57">
        <w:rPr>
          <w:lang w:val="en-GB"/>
        </w:rPr>
        <w:t>The term “</w:t>
      </w:r>
      <w:r w:rsidR="00680465" w:rsidRPr="00F11E57">
        <w:rPr>
          <w:b/>
          <w:bCs/>
          <w:lang w:val="en-GB"/>
        </w:rPr>
        <w:t xml:space="preserve">UAE </w:t>
      </w:r>
      <w:r w:rsidRPr="00F11E57">
        <w:rPr>
          <w:b/>
          <w:lang w:val="en-GB"/>
        </w:rPr>
        <w:t>Competent Authority</w:t>
      </w:r>
      <w:r w:rsidRPr="00F11E57">
        <w:rPr>
          <w:lang w:val="en-GB"/>
        </w:rPr>
        <w:t>” means the Ministry of Finance.</w:t>
      </w:r>
    </w:p>
    <w:p w14:paraId="12ABD4BA" w14:textId="03EE6BF2" w:rsidR="008013F9" w:rsidRPr="00F11E57" w:rsidRDefault="00680465" w:rsidP="00680465">
      <w:pPr>
        <w:pStyle w:val="ListParagraph"/>
        <w:numPr>
          <w:ilvl w:val="0"/>
          <w:numId w:val="6"/>
        </w:numPr>
        <w:tabs>
          <w:tab w:val="left" w:pos="621"/>
        </w:tabs>
        <w:spacing w:before="1" w:line="274" w:lineRule="auto"/>
        <w:rPr>
          <w:lang w:val="en-GB"/>
        </w:rPr>
      </w:pPr>
      <w:r w:rsidRPr="00F11E57">
        <w:rPr>
          <w:lang w:val="en-GB"/>
        </w:rPr>
        <w:t>The term “</w:t>
      </w:r>
      <w:r w:rsidRPr="00F11E57">
        <w:rPr>
          <w:b/>
          <w:bCs/>
          <w:lang w:val="en-GB"/>
        </w:rPr>
        <w:t>Regulatory</w:t>
      </w:r>
      <w:r w:rsidRPr="00F11E57">
        <w:rPr>
          <w:b/>
          <w:lang w:val="en-GB"/>
        </w:rPr>
        <w:t xml:space="preserve"> Authority</w:t>
      </w:r>
      <w:r w:rsidRPr="00F11E57">
        <w:rPr>
          <w:lang w:val="en-GB"/>
        </w:rPr>
        <w:t>” means [</w:t>
      </w:r>
      <w:r w:rsidR="00206493" w:rsidRPr="00F11E57">
        <w:rPr>
          <w:i/>
          <w:iCs/>
          <w:lang w:val="en-GB"/>
        </w:rPr>
        <w:t>name(s) of regulatory authority in the relevant jurisdiction</w:t>
      </w:r>
      <w:r w:rsidRPr="00F11E57">
        <w:rPr>
          <w:lang w:val="en-GB"/>
        </w:rPr>
        <w:t>].</w:t>
      </w:r>
    </w:p>
    <w:p w14:paraId="0A17FF84" w14:textId="77777777" w:rsidR="00A6142A" w:rsidRPr="00F11E57" w:rsidRDefault="00A6142A" w:rsidP="005557B1">
      <w:pPr>
        <w:pStyle w:val="BodyText"/>
        <w:spacing w:before="1" w:line="274" w:lineRule="auto"/>
        <w:ind w:firstLine="0"/>
        <w:rPr>
          <w:sz w:val="19"/>
          <w:lang w:val="en-GB"/>
        </w:rPr>
      </w:pPr>
    </w:p>
    <w:p w14:paraId="55B21A4C" w14:textId="77777777" w:rsidR="00A6142A" w:rsidRPr="00F11E57" w:rsidRDefault="00A6142A" w:rsidP="005557B1">
      <w:pPr>
        <w:pStyle w:val="BodyText"/>
        <w:spacing w:before="1" w:line="274" w:lineRule="auto"/>
        <w:ind w:left="2143" w:right="2457" w:firstLine="0"/>
        <w:jc w:val="center"/>
        <w:rPr>
          <w:lang w:val="en-GB"/>
        </w:rPr>
      </w:pPr>
      <w:r w:rsidRPr="00F11E57">
        <w:rPr>
          <w:lang w:val="en-GB"/>
        </w:rPr>
        <w:t>SECTION IX</w:t>
      </w:r>
    </w:p>
    <w:p w14:paraId="2CA7BEC3" w14:textId="77777777" w:rsidR="00A6142A" w:rsidRPr="00F11E57" w:rsidRDefault="00A6142A" w:rsidP="005557B1">
      <w:pPr>
        <w:pStyle w:val="BodyText"/>
        <w:spacing w:before="1" w:line="274" w:lineRule="auto"/>
        <w:ind w:firstLine="0"/>
        <w:rPr>
          <w:sz w:val="19"/>
          <w:lang w:val="en-GB"/>
        </w:rPr>
      </w:pPr>
    </w:p>
    <w:p w14:paraId="3A4E1A07" w14:textId="77777777" w:rsidR="00A6142A" w:rsidRPr="00F11E57" w:rsidRDefault="00A6142A" w:rsidP="005557B1">
      <w:pPr>
        <w:pStyle w:val="BodyText"/>
        <w:spacing w:before="1" w:line="274" w:lineRule="auto"/>
        <w:ind w:left="265" w:firstLine="0"/>
        <w:rPr>
          <w:lang w:val="en-GB"/>
        </w:rPr>
      </w:pPr>
      <w:r w:rsidRPr="00F11E57">
        <w:rPr>
          <w:lang w:val="en-GB"/>
        </w:rPr>
        <w:t>COMPLEMENTARY REPORTING AND DUE DILIGENCE RULES FOR FINANCIAL ACCOUNT INFORMATION</w:t>
      </w:r>
    </w:p>
    <w:p w14:paraId="61495A8E" w14:textId="77777777" w:rsidR="00A6142A" w:rsidRPr="00F11E57" w:rsidRDefault="00A6142A" w:rsidP="005557B1">
      <w:pPr>
        <w:pStyle w:val="BodyText"/>
        <w:spacing w:before="1" w:line="274" w:lineRule="auto"/>
        <w:ind w:firstLine="0"/>
        <w:rPr>
          <w:sz w:val="19"/>
          <w:lang w:val="en-GB"/>
        </w:rPr>
      </w:pPr>
    </w:p>
    <w:p w14:paraId="5623D586" w14:textId="77777777" w:rsidR="00A6142A" w:rsidRPr="00F11E57" w:rsidRDefault="00A6142A" w:rsidP="00641A58">
      <w:pPr>
        <w:pStyle w:val="ListParagraph"/>
        <w:numPr>
          <w:ilvl w:val="0"/>
          <w:numId w:val="5"/>
        </w:numPr>
        <w:tabs>
          <w:tab w:val="left" w:pos="494"/>
        </w:tabs>
        <w:spacing w:before="1" w:line="274" w:lineRule="auto"/>
        <w:rPr>
          <w:b/>
          <w:lang w:val="en-GB"/>
        </w:rPr>
      </w:pPr>
      <w:r w:rsidRPr="00F11E57">
        <w:rPr>
          <w:b/>
          <w:lang w:val="en-GB"/>
        </w:rPr>
        <w:t>Change in</w:t>
      </w:r>
      <w:r w:rsidRPr="00F11E57">
        <w:rPr>
          <w:b/>
          <w:spacing w:val="-5"/>
          <w:lang w:val="en-GB"/>
        </w:rPr>
        <w:t xml:space="preserve"> </w:t>
      </w:r>
      <w:r w:rsidRPr="00F11E57">
        <w:rPr>
          <w:b/>
          <w:lang w:val="en-GB"/>
        </w:rPr>
        <w:t>circumstances</w:t>
      </w:r>
    </w:p>
    <w:p w14:paraId="37C34AA6" w14:textId="77777777" w:rsidR="00A6142A" w:rsidRPr="00F11E57" w:rsidRDefault="00A6142A" w:rsidP="005557B1">
      <w:pPr>
        <w:pStyle w:val="BodyText"/>
        <w:spacing w:before="1" w:line="274" w:lineRule="auto"/>
        <w:ind w:firstLine="0"/>
        <w:rPr>
          <w:b/>
          <w:sz w:val="19"/>
          <w:lang w:val="en-GB"/>
        </w:rPr>
      </w:pPr>
    </w:p>
    <w:p w14:paraId="5A139B65" w14:textId="07BB2860" w:rsidR="00A6142A" w:rsidRPr="00F11E57" w:rsidRDefault="00A6142A" w:rsidP="00641A58">
      <w:pPr>
        <w:pStyle w:val="ListParagraph"/>
        <w:numPr>
          <w:ilvl w:val="0"/>
          <w:numId w:val="4"/>
        </w:numPr>
        <w:tabs>
          <w:tab w:val="left" w:pos="621"/>
        </w:tabs>
        <w:spacing w:before="1" w:line="274" w:lineRule="auto"/>
        <w:ind w:right="667"/>
        <w:rPr>
          <w:lang w:val="en-GB"/>
        </w:rPr>
      </w:pPr>
      <w:r w:rsidRPr="00F11E57">
        <w:rPr>
          <w:lang w:val="en-GB"/>
        </w:rPr>
        <w:t>A “</w:t>
      </w:r>
      <w:r w:rsidRPr="00F11E57">
        <w:rPr>
          <w:b/>
          <w:bCs/>
          <w:lang w:val="en-GB"/>
        </w:rPr>
        <w:t>change in circumstances</w:t>
      </w:r>
      <w:r w:rsidRPr="00F11E57">
        <w:rPr>
          <w:lang w:val="en-GB"/>
        </w:rPr>
        <w:t>” includes any change that results in the addition of information relevant to a person's status or otherwise conflicts with such person's status. In addition, a change in circumstances includes any change or addition of information to the Account Holder's account (including the addition, substitution, or other change of an Account Holder) or any change or addition of information to any account associated with such account (applying the account aggregation ru</w:t>
      </w:r>
      <w:r w:rsidR="00D3473F" w:rsidRPr="00F11E57">
        <w:rPr>
          <w:lang w:val="en-GB"/>
        </w:rPr>
        <w:t>les described in subparagraphs D</w:t>
      </w:r>
      <w:r w:rsidRPr="00F11E57">
        <w:rPr>
          <w:lang w:val="en-GB"/>
        </w:rPr>
        <w:t>(1) t</w:t>
      </w:r>
      <w:r w:rsidR="00D3473F" w:rsidRPr="00F11E57">
        <w:rPr>
          <w:lang w:val="en-GB"/>
        </w:rPr>
        <w:t>hrough (3) of Section VII</w:t>
      </w:r>
      <w:r w:rsidRPr="00F11E57">
        <w:rPr>
          <w:lang w:val="en-GB"/>
        </w:rPr>
        <w:t>) if such change or addition of information affects the status of the Account</w:t>
      </w:r>
      <w:r w:rsidRPr="00F11E57">
        <w:rPr>
          <w:spacing w:val="-15"/>
          <w:lang w:val="en-GB"/>
        </w:rPr>
        <w:t xml:space="preserve"> </w:t>
      </w:r>
      <w:r w:rsidRPr="00F11E57">
        <w:rPr>
          <w:lang w:val="en-GB"/>
        </w:rPr>
        <w:t>Holder.</w:t>
      </w:r>
    </w:p>
    <w:p w14:paraId="3D3D4A68" w14:textId="0F40FCAF" w:rsidR="00A6142A" w:rsidRPr="00F11E57" w:rsidRDefault="00A6142A" w:rsidP="00641A58">
      <w:pPr>
        <w:pStyle w:val="ListParagraph"/>
        <w:numPr>
          <w:ilvl w:val="0"/>
          <w:numId w:val="4"/>
        </w:numPr>
        <w:tabs>
          <w:tab w:val="left" w:pos="621"/>
        </w:tabs>
        <w:spacing w:before="1" w:line="274" w:lineRule="auto"/>
        <w:ind w:right="575"/>
        <w:rPr>
          <w:lang w:val="en-GB"/>
        </w:rPr>
      </w:pPr>
      <w:r w:rsidRPr="00F11E57">
        <w:rPr>
          <w:lang w:val="en-GB"/>
        </w:rPr>
        <w:t xml:space="preserve">If a Reporting Financial Institution has relied on the residence address test described in subparagraph B(1) of Section III and there is a change in circumstances that causes  the Reporting Financial Institution to know or have reason to know that the original Documentary Evidence (or other equivalent documentation) is incorrect or unreliable, the Reporting Financial Institution must, by the later of the last day of the relevant calendar year, or 90 calendar days following the notice or discovery of such change in circumstances, obtain a self- certification and new Documentary Evidence to establish the residence(s) for tax purposes of the Account Holder. If the Reporting Financial Institution cannot obtain the self-certification and new Documentary Evidence by such date, the Reporting Financial Institution must </w:t>
      </w:r>
      <w:r w:rsidR="00B23E1E" w:rsidRPr="00F11E57">
        <w:rPr>
          <w:lang w:val="en-GB"/>
        </w:rPr>
        <w:t xml:space="preserve">treat the Account Holder as resident of the jurisdiction in which the Account Holder </w:t>
      </w:r>
      <w:r w:rsidR="00B23E1E" w:rsidRPr="00F11E57">
        <w:rPr>
          <w:lang w:val="en-GB"/>
        </w:rPr>
        <w:lastRenderedPageBreak/>
        <w:t>claimed to be resident in the original self-certificate and the jurisdiction in which the Account holder may be resident as a result of the change in circumstances</w:t>
      </w:r>
      <w:r w:rsidRPr="00F11E57">
        <w:rPr>
          <w:lang w:val="en-GB"/>
        </w:rPr>
        <w:t>.</w:t>
      </w:r>
    </w:p>
    <w:p w14:paraId="735C5404" w14:textId="77777777" w:rsidR="00A6142A" w:rsidRPr="00F11E57" w:rsidRDefault="00A6142A" w:rsidP="005557B1">
      <w:pPr>
        <w:pStyle w:val="BodyText"/>
        <w:spacing w:before="1" w:line="274" w:lineRule="auto"/>
        <w:ind w:firstLine="0"/>
        <w:rPr>
          <w:sz w:val="16"/>
          <w:lang w:val="en-GB"/>
        </w:rPr>
      </w:pPr>
    </w:p>
    <w:p w14:paraId="38100E4C" w14:textId="77777777" w:rsidR="00A6142A" w:rsidRPr="00F11E57" w:rsidRDefault="00A6142A" w:rsidP="00641A58">
      <w:pPr>
        <w:pStyle w:val="ListParagraph"/>
        <w:numPr>
          <w:ilvl w:val="0"/>
          <w:numId w:val="5"/>
        </w:numPr>
        <w:tabs>
          <w:tab w:val="left" w:pos="487"/>
        </w:tabs>
        <w:spacing w:before="1" w:line="274" w:lineRule="auto"/>
        <w:ind w:left="486" w:hanging="226"/>
        <w:rPr>
          <w:b/>
          <w:lang w:val="en-GB"/>
        </w:rPr>
      </w:pPr>
      <w:r w:rsidRPr="00F11E57">
        <w:rPr>
          <w:b/>
          <w:lang w:val="en-GB"/>
        </w:rPr>
        <w:t>Self-certification for New Entity</w:t>
      </w:r>
      <w:r w:rsidRPr="00F11E57">
        <w:rPr>
          <w:b/>
          <w:spacing w:val="-3"/>
          <w:lang w:val="en-GB"/>
        </w:rPr>
        <w:t xml:space="preserve"> </w:t>
      </w:r>
      <w:r w:rsidRPr="00F11E57">
        <w:rPr>
          <w:b/>
          <w:lang w:val="en-GB"/>
        </w:rPr>
        <w:t>Accounts</w:t>
      </w:r>
    </w:p>
    <w:p w14:paraId="4CE9CB88" w14:textId="77777777" w:rsidR="00136E94" w:rsidRPr="00F11E57" w:rsidRDefault="00136E94" w:rsidP="00136E94">
      <w:pPr>
        <w:pStyle w:val="BodyText"/>
        <w:spacing w:before="1" w:line="274" w:lineRule="auto"/>
        <w:ind w:firstLine="0"/>
        <w:rPr>
          <w:sz w:val="16"/>
          <w:lang w:val="en-GB"/>
        </w:rPr>
      </w:pPr>
    </w:p>
    <w:p w14:paraId="5A5BD1EF" w14:textId="56B855F0" w:rsidR="00A6142A" w:rsidRPr="00F11E57" w:rsidRDefault="00A6142A" w:rsidP="00641A58">
      <w:pPr>
        <w:pStyle w:val="ListParagraph"/>
        <w:numPr>
          <w:ilvl w:val="0"/>
          <w:numId w:val="3"/>
        </w:numPr>
        <w:tabs>
          <w:tab w:val="left" w:pos="621"/>
        </w:tabs>
        <w:spacing w:before="1" w:line="274" w:lineRule="auto"/>
        <w:ind w:right="579"/>
        <w:rPr>
          <w:lang w:val="en-GB"/>
        </w:rPr>
      </w:pPr>
      <w:r w:rsidRPr="00F11E57">
        <w:rPr>
          <w:lang w:val="en-GB"/>
        </w:rPr>
        <w:t>With respect to New Entity Accounts, for the purposes of determining whether a Controlling Person of a Passive NFE is a Reportable Person, a Reporting Financial Institution may only rely on a self-certification from either the Account Holder or the Controlling Person.</w:t>
      </w:r>
    </w:p>
    <w:p w14:paraId="0F91AA19" w14:textId="77777777" w:rsidR="00A6142A" w:rsidRPr="00F11E57" w:rsidRDefault="00A6142A" w:rsidP="005557B1">
      <w:pPr>
        <w:pStyle w:val="BodyText"/>
        <w:spacing w:before="1" w:line="274" w:lineRule="auto"/>
        <w:ind w:firstLine="0"/>
        <w:rPr>
          <w:sz w:val="16"/>
          <w:lang w:val="en-GB"/>
        </w:rPr>
      </w:pPr>
    </w:p>
    <w:p w14:paraId="6237469D" w14:textId="77777777" w:rsidR="00A6142A" w:rsidRPr="00F11E57" w:rsidRDefault="00A6142A" w:rsidP="00641A58">
      <w:pPr>
        <w:pStyle w:val="ListParagraph"/>
        <w:numPr>
          <w:ilvl w:val="0"/>
          <w:numId w:val="5"/>
        </w:numPr>
        <w:tabs>
          <w:tab w:val="left" w:pos="484"/>
        </w:tabs>
        <w:spacing w:before="1" w:line="274" w:lineRule="auto"/>
        <w:ind w:left="483" w:hanging="223"/>
        <w:rPr>
          <w:b/>
          <w:lang w:val="en-GB"/>
        </w:rPr>
      </w:pPr>
      <w:r w:rsidRPr="00F11E57">
        <w:rPr>
          <w:b/>
          <w:lang w:val="en-GB"/>
        </w:rPr>
        <w:t>Residence of a Financial</w:t>
      </w:r>
      <w:r w:rsidRPr="00F11E57">
        <w:rPr>
          <w:b/>
          <w:spacing w:val="-6"/>
          <w:lang w:val="en-GB"/>
        </w:rPr>
        <w:t xml:space="preserve"> </w:t>
      </w:r>
      <w:r w:rsidRPr="00F11E57">
        <w:rPr>
          <w:b/>
          <w:lang w:val="en-GB"/>
        </w:rPr>
        <w:t>Institution</w:t>
      </w:r>
    </w:p>
    <w:p w14:paraId="40320C87" w14:textId="77777777" w:rsidR="00136E94" w:rsidRPr="00F11E57" w:rsidRDefault="00136E94" w:rsidP="00136E94">
      <w:pPr>
        <w:pStyle w:val="BodyText"/>
        <w:spacing w:before="1" w:line="274" w:lineRule="auto"/>
        <w:ind w:firstLine="0"/>
        <w:rPr>
          <w:sz w:val="16"/>
          <w:lang w:val="en-GB"/>
        </w:rPr>
      </w:pPr>
    </w:p>
    <w:p w14:paraId="1FD467C3" w14:textId="06F513CE" w:rsidR="00AB5574" w:rsidRPr="00F11E57" w:rsidRDefault="00A6142A" w:rsidP="00641A58">
      <w:pPr>
        <w:pStyle w:val="ListParagraph"/>
        <w:numPr>
          <w:ilvl w:val="0"/>
          <w:numId w:val="32"/>
        </w:numPr>
        <w:tabs>
          <w:tab w:val="left" w:pos="621"/>
        </w:tabs>
        <w:spacing w:before="1" w:line="274" w:lineRule="auto"/>
        <w:ind w:right="579"/>
        <w:rPr>
          <w:lang w:val="en-GB"/>
        </w:rPr>
      </w:pPr>
      <w:r w:rsidRPr="00F11E57">
        <w:rPr>
          <w:lang w:val="en-GB"/>
        </w:rPr>
        <w:t>A Financial Institution is “</w:t>
      </w:r>
      <w:r w:rsidRPr="00F11E57">
        <w:rPr>
          <w:b/>
          <w:bCs/>
          <w:lang w:val="en-GB"/>
        </w:rPr>
        <w:t>resident</w:t>
      </w:r>
      <w:r w:rsidRPr="00F11E57">
        <w:rPr>
          <w:lang w:val="en-GB"/>
        </w:rPr>
        <w:t>” in a Participating Jurisdiction if it is subject to the jurisdiction of such Participating Jurisdiction in that the Participating Jurisdiction is able to enforce reporting by the Financial</w:t>
      </w:r>
      <w:r w:rsidRPr="00F11E57">
        <w:rPr>
          <w:spacing w:val="-3"/>
          <w:lang w:val="en-GB"/>
        </w:rPr>
        <w:t xml:space="preserve"> </w:t>
      </w:r>
      <w:r w:rsidRPr="00F11E57">
        <w:rPr>
          <w:lang w:val="en-GB"/>
        </w:rPr>
        <w:t>Institution).</w:t>
      </w:r>
    </w:p>
    <w:p w14:paraId="3BD0EB63" w14:textId="77777777" w:rsidR="00AB5574" w:rsidRPr="00F11E57" w:rsidRDefault="006F79B6" w:rsidP="00641A58">
      <w:pPr>
        <w:pStyle w:val="ListParagraph"/>
        <w:numPr>
          <w:ilvl w:val="0"/>
          <w:numId w:val="32"/>
        </w:numPr>
        <w:tabs>
          <w:tab w:val="left" w:pos="621"/>
        </w:tabs>
        <w:spacing w:before="1" w:line="274" w:lineRule="auto"/>
        <w:ind w:right="579"/>
        <w:rPr>
          <w:lang w:val="en-GB"/>
        </w:rPr>
      </w:pPr>
      <w:r w:rsidRPr="00F11E57">
        <w:rPr>
          <w:lang w:val="en-GB"/>
        </w:rPr>
        <w:t>In the case of a trust that is a Financial Institution (irrespective of whether it is resident for tax purposes in a Participating Jurisdiction), the trust is considered to be subject to the jurisdiction of a Participating Jurisdiction if one or more of its trustees are resident in such jurisdiction except if the trust reports all the information required to be reported under these Regulations with respect to Reportable Accounts maintained by the trust to another Participating Jurisdiction because it is resident for tax purposes in such other</w:t>
      </w:r>
      <w:r w:rsidRPr="00F11E57">
        <w:rPr>
          <w:spacing w:val="-14"/>
          <w:lang w:val="en-GB"/>
        </w:rPr>
        <w:t xml:space="preserve"> </w:t>
      </w:r>
      <w:r w:rsidRPr="00F11E57">
        <w:rPr>
          <w:lang w:val="en-GB"/>
        </w:rPr>
        <w:t>jurisdiction.</w:t>
      </w:r>
    </w:p>
    <w:p w14:paraId="58E303B7" w14:textId="77777777" w:rsidR="00AB5574" w:rsidRPr="00F11E57" w:rsidRDefault="006F79B6" w:rsidP="00641A58">
      <w:pPr>
        <w:pStyle w:val="ListParagraph"/>
        <w:numPr>
          <w:ilvl w:val="0"/>
          <w:numId w:val="32"/>
        </w:numPr>
        <w:tabs>
          <w:tab w:val="left" w:pos="621"/>
        </w:tabs>
        <w:spacing w:before="1" w:line="274" w:lineRule="auto"/>
        <w:ind w:right="639"/>
        <w:rPr>
          <w:lang w:val="en-GB"/>
        </w:rPr>
      </w:pPr>
      <w:r w:rsidRPr="00F11E57">
        <w:rPr>
          <w:lang w:val="en-GB"/>
        </w:rPr>
        <w:t>Where a Financial Institution (other than a trust) does not have a residence for tax purposes (for example, because it is treated as fiscally transparent, or it is located in a jurisdiction that does not have an income tax), it is considered to be subject to the jurisdiction of a Participating Jurisdiction and it is, thus, a Participating Jurisdiction Financial Institution</w:t>
      </w:r>
      <w:r w:rsidRPr="00F11E57">
        <w:rPr>
          <w:spacing w:val="-13"/>
          <w:lang w:val="en-GB"/>
        </w:rPr>
        <w:t xml:space="preserve"> </w:t>
      </w:r>
      <w:r w:rsidRPr="00F11E57">
        <w:rPr>
          <w:lang w:val="en-GB"/>
        </w:rPr>
        <w:t>if:</w:t>
      </w:r>
    </w:p>
    <w:p w14:paraId="181259A7" w14:textId="77777777" w:rsidR="00AB5574" w:rsidRPr="00F11E57" w:rsidRDefault="006F79B6" w:rsidP="00641A58">
      <w:pPr>
        <w:pStyle w:val="ListParagraph"/>
        <w:numPr>
          <w:ilvl w:val="1"/>
          <w:numId w:val="32"/>
        </w:numPr>
        <w:tabs>
          <w:tab w:val="left" w:pos="981"/>
        </w:tabs>
        <w:spacing w:before="1" w:line="274" w:lineRule="auto"/>
        <w:rPr>
          <w:lang w:val="en-GB"/>
        </w:rPr>
      </w:pPr>
      <w:r w:rsidRPr="00F11E57">
        <w:rPr>
          <w:lang w:val="en-GB"/>
        </w:rPr>
        <w:t>it is incorporated under the laws of the Participating</w:t>
      </w:r>
      <w:r w:rsidRPr="00F11E57">
        <w:rPr>
          <w:spacing w:val="-11"/>
          <w:lang w:val="en-GB"/>
        </w:rPr>
        <w:t xml:space="preserve"> </w:t>
      </w:r>
      <w:r w:rsidRPr="00F11E57">
        <w:rPr>
          <w:lang w:val="en-GB"/>
        </w:rPr>
        <w:t>Jurisdiction;</w:t>
      </w:r>
    </w:p>
    <w:p w14:paraId="13060ACD" w14:textId="77777777" w:rsidR="00AB5574" w:rsidRPr="00F11E57" w:rsidRDefault="006F79B6" w:rsidP="00641A58">
      <w:pPr>
        <w:pStyle w:val="ListParagraph"/>
        <w:numPr>
          <w:ilvl w:val="1"/>
          <w:numId w:val="32"/>
        </w:numPr>
        <w:tabs>
          <w:tab w:val="left" w:pos="981"/>
        </w:tabs>
        <w:spacing w:before="1" w:line="274" w:lineRule="auto"/>
        <w:ind w:right="1343"/>
        <w:rPr>
          <w:lang w:val="en-GB"/>
        </w:rPr>
      </w:pPr>
      <w:r w:rsidRPr="00F11E57">
        <w:rPr>
          <w:lang w:val="en-GB"/>
        </w:rPr>
        <w:t>it has its place of management (including effective management) in the Participating Jurisdiction;</w:t>
      </w:r>
      <w:r w:rsidRPr="00F11E57">
        <w:rPr>
          <w:spacing w:val="-2"/>
          <w:lang w:val="en-GB"/>
        </w:rPr>
        <w:t xml:space="preserve"> </w:t>
      </w:r>
      <w:r w:rsidRPr="00F11E57">
        <w:rPr>
          <w:lang w:val="en-GB"/>
        </w:rPr>
        <w:t>or</w:t>
      </w:r>
    </w:p>
    <w:p w14:paraId="69D9179D" w14:textId="77777777" w:rsidR="00AB5574" w:rsidRPr="00F11E57" w:rsidRDefault="006F79B6" w:rsidP="00641A58">
      <w:pPr>
        <w:pStyle w:val="ListParagraph"/>
        <w:numPr>
          <w:ilvl w:val="1"/>
          <w:numId w:val="32"/>
        </w:numPr>
        <w:tabs>
          <w:tab w:val="left" w:pos="981"/>
        </w:tabs>
        <w:spacing w:before="1" w:line="274" w:lineRule="auto"/>
        <w:rPr>
          <w:lang w:val="en-GB"/>
        </w:rPr>
      </w:pPr>
      <w:r w:rsidRPr="00F11E57">
        <w:rPr>
          <w:lang w:val="en-GB"/>
        </w:rPr>
        <w:t>it is subject to financial supervision in the Participating</w:t>
      </w:r>
      <w:r w:rsidRPr="00F11E57">
        <w:rPr>
          <w:spacing w:val="-11"/>
          <w:lang w:val="en-GB"/>
        </w:rPr>
        <w:t xml:space="preserve"> </w:t>
      </w:r>
      <w:r w:rsidRPr="00F11E57">
        <w:rPr>
          <w:lang w:val="en-GB"/>
        </w:rPr>
        <w:t>Jurisdiction.</w:t>
      </w:r>
    </w:p>
    <w:p w14:paraId="486BC444" w14:textId="77777777" w:rsidR="00AB5574" w:rsidRPr="00F11E57" w:rsidRDefault="006F79B6" w:rsidP="00641A58">
      <w:pPr>
        <w:pStyle w:val="ListParagraph"/>
        <w:numPr>
          <w:ilvl w:val="0"/>
          <w:numId w:val="32"/>
        </w:numPr>
        <w:tabs>
          <w:tab w:val="left" w:pos="621"/>
        </w:tabs>
        <w:spacing w:before="1" w:line="274" w:lineRule="auto"/>
        <w:ind w:right="1290"/>
        <w:rPr>
          <w:lang w:val="en-GB"/>
        </w:rPr>
      </w:pPr>
      <w:r w:rsidRPr="00F11E57">
        <w:rPr>
          <w:lang w:val="en-GB"/>
        </w:rPr>
        <w:t>Where a Financial Institution (other than a trust) is resident in two or more Participating Jurisdiction, such Financial Institution will be subject to the reporting and due diligence obligations of the Participating Jurisdiction in which it maintains the Financial</w:t>
      </w:r>
      <w:r w:rsidRPr="00F11E57">
        <w:rPr>
          <w:spacing w:val="-18"/>
          <w:lang w:val="en-GB"/>
        </w:rPr>
        <w:t xml:space="preserve"> </w:t>
      </w:r>
      <w:r w:rsidRPr="00F11E57">
        <w:rPr>
          <w:lang w:val="en-GB"/>
        </w:rPr>
        <w:t>Account(s).</w:t>
      </w:r>
    </w:p>
    <w:p w14:paraId="6955438F" w14:textId="77777777" w:rsidR="00AB5574" w:rsidRPr="00F11E57" w:rsidRDefault="00AB5574" w:rsidP="005557B1">
      <w:pPr>
        <w:pStyle w:val="BodyText"/>
        <w:spacing w:before="1" w:line="274" w:lineRule="auto"/>
        <w:ind w:firstLine="0"/>
        <w:rPr>
          <w:sz w:val="16"/>
          <w:lang w:val="en-GB"/>
        </w:rPr>
      </w:pPr>
    </w:p>
    <w:p w14:paraId="070DC382" w14:textId="77777777" w:rsidR="00AB5574" w:rsidRPr="00F11E57" w:rsidRDefault="006F79B6" w:rsidP="00641A58">
      <w:pPr>
        <w:pStyle w:val="ListParagraph"/>
        <w:numPr>
          <w:ilvl w:val="0"/>
          <w:numId w:val="5"/>
        </w:numPr>
        <w:tabs>
          <w:tab w:val="left" w:pos="503"/>
        </w:tabs>
        <w:spacing w:before="1" w:line="274" w:lineRule="auto"/>
        <w:ind w:left="502" w:hanging="242"/>
        <w:rPr>
          <w:b/>
          <w:lang w:val="en-GB"/>
        </w:rPr>
      </w:pPr>
      <w:r w:rsidRPr="00F11E57">
        <w:rPr>
          <w:b/>
          <w:lang w:val="en-GB"/>
        </w:rPr>
        <w:t>Account</w:t>
      </w:r>
      <w:r w:rsidRPr="00F11E57">
        <w:rPr>
          <w:b/>
          <w:spacing w:val="-3"/>
          <w:lang w:val="en-GB"/>
        </w:rPr>
        <w:t xml:space="preserve"> </w:t>
      </w:r>
      <w:r w:rsidRPr="00F11E57">
        <w:rPr>
          <w:b/>
          <w:lang w:val="en-GB"/>
        </w:rPr>
        <w:t>maintained</w:t>
      </w:r>
    </w:p>
    <w:p w14:paraId="5B177500" w14:textId="77777777" w:rsidR="00136E94" w:rsidRPr="00F11E57" w:rsidRDefault="00136E94" w:rsidP="00136E94">
      <w:pPr>
        <w:pStyle w:val="BodyText"/>
        <w:spacing w:before="1" w:line="274" w:lineRule="auto"/>
        <w:ind w:firstLine="0"/>
        <w:rPr>
          <w:sz w:val="16"/>
          <w:lang w:val="en-GB"/>
        </w:rPr>
      </w:pPr>
    </w:p>
    <w:p w14:paraId="6B3E09E6" w14:textId="5EA2681D" w:rsidR="00AB5574" w:rsidRPr="00F11E57" w:rsidRDefault="006F79B6" w:rsidP="00641A58">
      <w:pPr>
        <w:pStyle w:val="ListParagraph"/>
        <w:numPr>
          <w:ilvl w:val="0"/>
          <w:numId w:val="27"/>
        </w:numPr>
        <w:tabs>
          <w:tab w:val="left" w:pos="621"/>
        </w:tabs>
        <w:spacing w:before="1" w:line="274" w:lineRule="auto"/>
        <w:ind w:right="627"/>
        <w:rPr>
          <w:lang w:val="en-GB"/>
        </w:rPr>
      </w:pPr>
      <w:r w:rsidRPr="00F11E57">
        <w:rPr>
          <w:lang w:val="en-GB"/>
        </w:rPr>
        <w:t xml:space="preserve">In general, an account would be considered to be </w:t>
      </w:r>
      <w:r w:rsidR="00FF3041" w:rsidRPr="00F11E57">
        <w:rPr>
          <w:lang w:val="en-GB"/>
        </w:rPr>
        <w:t>“</w:t>
      </w:r>
      <w:r w:rsidRPr="00F11E57">
        <w:rPr>
          <w:b/>
          <w:bCs/>
          <w:lang w:val="en-GB"/>
        </w:rPr>
        <w:t>maintained</w:t>
      </w:r>
      <w:r w:rsidR="00FF3041" w:rsidRPr="00F11E57">
        <w:rPr>
          <w:lang w:val="en-GB"/>
        </w:rPr>
        <w:t>”</w:t>
      </w:r>
      <w:r w:rsidRPr="00F11E57">
        <w:rPr>
          <w:lang w:val="en-GB"/>
        </w:rPr>
        <w:t xml:space="preserve"> by a Financial Institution as follows:</w:t>
      </w:r>
    </w:p>
    <w:p w14:paraId="460EA8E7" w14:textId="77777777" w:rsidR="00AB5574" w:rsidRPr="00F11E57" w:rsidRDefault="006F79B6" w:rsidP="00641A58">
      <w:pPr>
        <w:pStyle w:val="ListParagraph"/>
        <w:numPr>
          <w:ilvl w:val="1"/>
          <w:numId w:val="2"/>
        </w:numPr>
        <w:tabs>
          <w:tab w:val="left" w:pos="981"/>
        </w:tabs>
        <w:spacing w:before="1" w:line="274" w:lineRule="auto"/>
        <w:ind w:right="634"/>
        <w:rPr>
          <w:lang w:val="en-GB"/>
        </w:rPr>
      </w:pPr>
      <w:r w:rsidRPr="00F11E57">
        <w:rPr>
          <w:lang w:val="en-GB"/>
        </w:rPr>
        <w:t xml:space="preserve">in the case of a Custodial Account, by the Financial Institution that holds </w:t>
      </w:r>
      <w:r w:rsidRPr="00F11E57">
        <w:rPr>
          <w:lang w:val="en-GB"/>
        </w:rPr>
        <w:lastRenderedPageBreak/>
        <w:t>custody over the assets in the account (including a Financial Institution that holds assets in street name for an Account Holder in such</w:t>
      </w:r>
      <w:r w:rsidRPr="00F11E57">
        <w:rPr>
          <w:spacing w:val="-5"/>
          <w:lang w:val="en-GB"/>
        </w:rPr>
        <w:t xml:space="preserve"> </w:t>
      </w:r>
      <w:r w:rsidRPr="00F11E57">
        <w:rPr>
          <w:lang w:val="en-GB"/>
        </w:rPr>
        <w:t>institution);</w:t>
      </w:r>
    </w:p>
    <w:p w14:paraId="3B727292" w14:textId="77777777" w:rsidR="00AB5574" w:rsidRPr="00F11E57" w:rsidRDefault="006F79B6" w:rsidP="00641A58">
      <w:pPr>
        <w:pStyle w:val="ListParagraph"/>
        <w:numPr>
          <w:ilvl w:val="1"/>
          <w:numId w:val="2"/>
        </w:numPr>
        <w:tabs>
          <w:tab w:val="left" w:pos="981"/>
        </w:tabs>
        <w:spacing w:before="1" w:line="274" w:lineRule="auto"/>
        <w:ind w:right="971"/>
        <w:rPr>
          <w:lang w:val="en-GB"/>
        </w:rPr>
      </w:pPr>
      <w:r w:rsidRPr="00F11E57">
        <w:rPr>
          <w:lang w:val="en-GB"/>
        </w:rPr>
        <w:t>in the case of a Depository Account, by the Financial Institution that is obligated to make payments with respect to the account (excluding an agent of a Financial Institution regardless of whether such agent is a Financial</w:t>
      </w:r>
      <w:r w:rsidRPr="00F11E57">
        <w:rPr>
          <w:spacing w:val="-14"/>
          <w:lang w:val="en-GB"/>
        </w:rPr>
        <w:t xml:space="preserve"> </w:t>
      </w:r>
      <w:r w:rsidRPr="00F11E57">
        <w:rPr>
          <w:lang w:val="en-GB"/>
        </w:rPr>
        <w:t>Institution);</w:t>
      </w:r>
    </w:p>
    <w:p w14:paraId="30A21DE9" w14:textId="4D18F4D7" w:rsidR="00AB5574" w:rsidRPr="00F11E57" w:rsidRDefault="006F79B6" w:rsidP="00641A58">
      <w:pPr>
        <w:pStyle w:val="ListParagraph"/>
        <w:numPr>
          <w:ilvl w:val="1"/>
          <w:numId w:val="2"/>
        </w:numPr>
        <w:tabs>
          <w:tab w:val="left" w:pos="981"/>
        </w:tabs>
        <w:spacing w:before="1" w:line="274" w:lineRule="auto"/>
        <w:ind w:right="616"/>
        <w:rPr>
          <w:lang w:val="en-GB"/>
        </w:rPr>
      </w:pPr>
      <w:r w:rsidRPr="00F11E57">
        <w:rPr>
          <w:lang w:val="en-GB"/>
        </w:rPr>
        <w:t xml:space="preserve">in the case of any </w:t>
      </w:r>
      <w:r w:rsidR="000B674C" w:rsidRPr="00F11E57">
        <w:rPr>
          <w:lang w:val="en-GB"/>
        </w:rPr>
        <w:t>E</w:t>
      </w:r>
      <w:r w:rsidRPr="00F11E57">
        <w:rPr>
          <w:lang w:val="en-GB"/>
        </w:rPr>
        <w:t>quity</w:t>
      </w:r>
      <w:r w:rsidR="000B674C" w:rsidRPr="00F11E57">
        <w:rPr>
          <w:lang w:val="en-GB"/>
        </w:rPr>
        <w:t xml:space="preserve"> Interest</w:t>
      </w:r>
      <w:r w:rsidRPr="00F11E57">
        <w:rPr>
          <w:lang w:val="en-GB"/>
        </w:rPr>
        <w:t xml:space="preserve"> or debt interest in a Financial Institution that constitutes a Financial Account, by such Financial</w:t>
      </w:r>
      <w:r w:rsidRPr="00F11E57">
        <w:rPr>
          <w:spacing w:val="-7"/>
          <w:lang w:val="en-GB"/>
        </w:rPr>
        <w:t xml:space="preserve"> </w:t>
      </w:r>
      <w:r w:rsidRPr="00F11E57">
        <w:rPr>
          <w:lang w:val="en-GB"/>
        </w:rPr>
        <w:t>Institution;</w:t>
      </w:r>
    </w:p>
    <w:p w14:paraId="56624970" w14:textId="77777777" w:rsidR="00AB5574" w:rsidRPr="00F11E57" w:rsidRDefault="006F79B6" w:rsidP="00641A58">
      <w:pPr>
        <w:pStyle w:val="ListParagraph"/>
        <w:numPr>
          <w:ilvl w:val="1"/>
          <w:numId w:val="2"/>
        </w:numPr>
        <w:tabs>
          <w:tab w:val="left" w:pos="981"/>
        </w:tabs>
        <w:spacing w:before="1" w:line="274" w:lineRule="auto"/>
        <w:ind w:right="1178"/>
        <w:rPr>
          <w:lang w:val="en-GB"/>
        </w:rPr>
      </w:pPr>
      <w:r w:rsidRPr="00F11E57">
        <w:rPr>
          <w:lang w:val="en-GB"/>
        </w:rPr>
        <w:t>in the case of a Cash Value Insurance Contract or an Annuity Contract, by the Financial Institution that is obligated to make payments with respect to the</w:t>
      </w:r>
      <w:r w:rsidRPr="00F11E57">
        <w:rPr>
          <w:spacing w:val="-17"/>
          <w:lang w:val="en-GB"/>
        </w:rPr>
        <w:t xml:space="preserve"> </w:t>
      </w:r>
      <w:r w:rsidRPr="00F11E57">
        <w:rPr>
          <w:lang w:val="en-GB"/>
        </w:rPr>
        <w:t>contract.</w:t>
      </w:r>
    </w:p>
    <w:p w14:paraId="13A826B5" w14:textId="77777777" w:rsidR="00AB5574" w:rsidRPr="00F11E57" w:rsidRDefault="00AB5574" w:rsidP="005557B1">
      <w:pPr>
        <w:pStyle w:val="BodyText"/>
        <w:spacing w:before="1" w:line="274" w:lineRule="auto"/>
        <w:ind w:firstLine="0"/>
        <w:rPr>
          <w:sz w:val="16"/>
          <w:lang w:val="en-GB"/>
        </w:rPr>
      </w:pPr>
    </w:p>
    <w:p w14:paraId="34E19923" w14:textId="2CA1A420" w:rsidR="00AB5574" w:rsidRPr="00F11E57" w:rsidRDefault="00041177" w:rsidP="00641A58">
      <w:pPr>
        <w:pStyle w:val="ListParagraph"/>
        <w:numPr>
          <w:ilvl w:val="0"/>
          <w:numId w:val="5"/>
        </w:numPr>
        <w:tabs>
          <w:tab w:val="left" w:pos="475"/>
        </w:tabs>
        <w:spacing w:before="1" w:line="274" w:lineRule="auto"/>
        <w:ind w:left="474" w:hanging="214"/>
        <w:rPr>
          <w:b/>
          <w:lang w:val="en-GB"/>
        </w:rPr>
      </w:pPr>
      <w:r w:rsidRPr="00F11E57">
        <w:rPr>
          <w:b/>
          <w:lang w:val="en-GB"/>
        </w:rPr>
        <w:t>Entities</w:t>
      </w:r>
      <w:r w:rsidR="006F79B6" w:rsidRPr="00F11E57">
        <w:rPr>
          <w:b/>
          <w:lang w:val="en-GB"/>
        </w:rPr>
        <w:t xml:space="preserve"> that are Passive</w:t>
      </w:r>
      <w:r w:rsidR="006F79B6" w:rsidRPr="00F11E57">
        <w:rPr>
          <w:b/>
          <w:spacing w:val="-7"/>
          <w:lang w:val="en-GB"/>
        </w:rPr>
        <w:t xml:space="preserve"> </w:t>
      </w:r>
      <w:r w:rsidR="006F79B6" w:rsidRPr="00F11E57">
        <w:rPr>
          <w:b/>
          <w:lang w:val="en-GB"/>
        </w:rPr>
        <w:t>NFEs</w:t>
      </w:r>
    </w:p>
    <w:p w14:paraId="2DF078A9" w14:textId="77777777" w:rsidR="00136E94" w:rsidRPr="00F11E57" w:rsidRDefault="00136E94" w:rsidP="00136E94">
      <w:pPr>
        <w:pStyle w:val="BodyText"/>
        <w:spacing w:before="1" w:line="274" w:lineRule="auto"/>
        <w:ind w:firstLine="0"/>
        <w:rPr>
          <w:sz w:val="16"/>
          <w:lang w:val="en-GB"/>
        </w:rPr>
      </w:pPr>
    </w:p>
    <w:p w14:paraId="67FAA3DA" w14:textId="585C3EFF" w:rsidR="00AB5574" w:rsidRPr="00F11E57" w:rsidRDefault="008B47CF" w:rsidP="00641A58">
      <w:pPr>
        <w:pStyle w:val="ListParagraph"/>
        <w:numPr>
          <w:ilvl w:val="0"/>
          <w:numId w:val="29"/>
        </w:numPr>
        <w:tabs>
          <w:tab w:val="left" w:pos="621"/>
        </w:tabs>
        <w:spacing w:before="1" w:line="274" w:lineRule="auto"/>
        <w:ind w:right="627"/>
        <w:rPr>
          <w:lang w:val="en-GB"/>
        </w:rPr>
      </w:pPr>
      <w:r w:rsidRPr="00F11E57">
        <w:rPr>
          <w:lang w:val="en-GB"/>
        </w:rPr>
        <w:t>For the purpose of</w:t>
      </w:r>
      <w:r w:rsidR="006F79B6" w:rsidRPr="00F11E57">
        <w:rPr>
          <w:lang w:val="en-GB"/>
        </w:rPr>
        <w:t xml:space="preserve"> subparagraph D(3) of Section VIII, a legal person or a legal arrangement is considered “</w:t>
      </w:r>
      <w:r w:rsidR="006F79B6" w:rsidRPr="00F11E57">
        <w:rPr>
          <w:b/>
          <w:bCs/>
          <w:lang w:val="en-GB"/>
        </w:rPr>
        <w:t>similar</w:t>
      </w:r>
      <w:r w:rsidR="006F79B6" w:rsidRPr="00F11E57">
        <w:rPr>
          <w:lang w:val="en-GB"/>
        </w:rPr>
        <w:t>” to a partnership and a limited liability partnership where it is not treated as a taxable unit in a Participating Jurisdiction under the tax laws of such jurisdiction. However, in order to avoid duplicate reporting (given the wide scope of the term Controlling Persons in the case of trusts), a trust that is a Passive NFE may not be considered a similar legal arrangement.</w:t>
      </w:r>
    </w:p>
    <w:p w14:paraId="156CD104" w14:textId="77777777" w:rsidR="00AB5574" w:rsidRPr="00F11E57" w:rsidRDefault="00AB5574" w:rsidP="005557B1">
      <w:pPr>
        <w:pStyle w:val="BodyText"/>
        <w:spacing w:before="1" w:line="274" w:lineRule="auto"/>
        <w:ind w:firstLine="0"/>
        <w:rPr>
          <w:sz w:val="16"/>
          <w:lang w:val="en-GB"/>
        </w:rPr>
      </w:pPr>
    </w:p>
    <w:p w14:paraId="0A9B52BC" w14:textId="77777777" w:rsidR="00AB5574" w:rsidRPr="00F11E57" w:rsidRDefault="006F79B6" w:rsidP="00641A58">
      <w:pPr>
        <w:pStyle w:val="ListParagraph"/>
        <w:numPr>
          <w:ilvl w:val="0"/>
          <w:numId w:val="5"/>
        </w:numPr>
        <w:tabs>
          <w:tab w:val="left" w:pos="467"/>
        </w:tabs>
        <w:spacing w:before="1" w:line="274" w:lineRule="auto"/>
        <w:ind w:left="466" w:hanging="206"/>
        <w:rPr>
          <w:b/>
          <w:lang w:val="en-GB"/>
        </w:rPr>
      </w:pPr>
      <w:r w:rsidRPr="00F11E57">
        <w:rPr>
          <w:b/>
          <w:lang w:val="en-GB"/>
        </w:rPr>
        <w:t>Address of Entity's principal</w:t>
      </w:r>
      <w:r w:rsidRPr="00F11E57">
        <w:rPr>
          <w:b/>
          <w:spacing w:val="-3"/>
          <w:lang w:val="en-GB"/>
        </w:rPr>
        <w:t xml:space="preserve"> </w:t>
      </w:r>
      <w:r w:rsidRPr="00F11E57">
        <w:rPr>
          <w:b/>
          <w:lang w:val="en-GB"/>
        </w:rPr>
        <w:t>office</w:t>
      </w:r>
    </w:p>
    <w:p w14:paraId="7D51C84D" w14:textId="77777777" w:rsidR="00136E94" w:rsidRPr="00F11E57" w:rsidRDefault="00136E94" w:rsidP="00136E94">
      <w:pPr>
        <w:pStyle w:val="BodyText"/>
        <w:spacing w:before="1" w:line="274" w:lineRule="auto"/>
        <w:ind w:firstLine="0"/>
        <w:rPr>
          <w:sz w:val="16"/>
          <w:lang w:val="en-GB"/>
        </w:rPr>
      </w:pPr>
    </w:p>
    <w:p w14:paraId="3716A88D" w14:textId="77777777" w:rsidR="00AB5574" w:rsidRPr="00F11E57" w:rsidRDefault="006F79B6" w:rsidP="00641A58">
      <w:pPr>
        <w:pStyle w:val="ListParagraph"/>
        <w:numPr>
          <w:ilvl w:val="0"/>
          <w:numId w:val="28"/>
        </w:numPr>
        <w:tabs>
          <w:tab w:val="left" w:pos="621"/>
        </w:tabs>
        <w:spacing w:before="1" w:line="274" w:lineRule="auto"/>
        <w:ind w:right="627"/>
        <w:rPr>
          <w:lang w:val="en-GB"/>
        </w:rPr>
      </w:pPr>
      <w:r w:rsidRPr="00F11E57">
        <w:rPr>
          <w:lang w:val="en-GB"/>
        </w:rPr>
        <w:t>One of the requirements described in subparagraph E(6)(c) of Section VIII is that, with respect to an Entity, the official documentation includes either the address of the Entity's principal office in a jurisdiction in which it claims to be a resident or a jurisdiction in which the Entity was incorporated or organised. The address of the Entity's principal office is generally the place in which its place of effective management is</w:t>
      </w:r>
      <w:r w:rsidRPr="00F11E57">
        <w:rPr>
          <w:spacing w:val="-9"/>
          <w:lang w:val="en-GB"/>
        </w:rPr>
        <w:t xml:space="preserve"> </w:t>
      </w:r>
      <w:r w:rsidRPr="00F11E57">
        <w:rPr>
          <w:lang w:val="en-GB"/>
        </w:rPr>
        <w:t>situated.</w:t>
      </w:r>
    </w:p>
    <w:p w14:paraId="7B4D005C" w14:textId="77777777" w:rsidR="00AB5574" w:rsidRPr="00F11E57" w:rsidRDefault="006F79B6" w:rsidP="00641A58">
      <w:pPr>
        <w:pStyle w:val="ListParagraph"/>
        <w:numPr>
          <w:ilvl w:val="0"/>
          <w:numId w:val="28"/>
        </w:numPr>
        <w:tabs>
          <w:tab w:val="left" w:pos="621"/>
        </w:tabs>
        <w:spacing w:before="1" w:line="274" w:lineRule="auto"/>
        <w:ind w:right="854"/>
        <w:rPr>
          <w:lang w:val="en-GB"/>
        </w:rPr>
      </w:pPr>
      <w:r w:rsidRPr="00F11E57">
        <w:rPr>
          <w:lang w:val="en-GB"/>
        </w:rPr>
        <w:t>The address of a Financial Institution with which the Entity maintains an account, a post office box, or an address used solely for mailing purposes is not the address of the Entity's principal office unless such address is the only address used by the Entity and appears as the Entity's registered address in the Entity's organisational</w:t>
      </w:r>
      <w:r w:rsidRPr="00F11E57">
        <w:rPr>
          <w:spacing w:val="-8"/>
          <w:lang w:val="en-GB"/>
        </w:rPr>
        <w:t xml:space="preserve"> </w:t>
      </w:r>
      <w:r w:rsidRPr="00F11E57">
        <w:rPr>
          <w:lang w:val="en-GB"/>
        </w:rPr>
        <w:t>documents.</w:t>
      </w:r>
    </w:p>
    <w:p w14:paraId="5413D324" w14:textId="77777777" w:rsidR="00AB5574" w:rsidRPr="00F11E57" w:rsidRDefault="006F79B6" w:rsidP="00641A58">
      <w:pPr>
        <w:pStyle w:val="ListParagraph"/>
        <w:numPr>
          <w:ilvl w:val="0"/>
          <w:numId w:val="28"/>
        </w:numPr>
        <w:tabs>
          <w:tab w:val="left" w:pos="621"/>
        </w:tabs>
        <w:spacing w:before="1" w:line="274" w:lineRule="auto"/>
        <w:ind w:right="1095"/>
        <w:rPr>
          <w:lang w:val="en-GB"/>
        </w:rPr>
      </w:pPr>
      <w:r w:rsidRPr="00F11E57">
        <w:rPr>
          <w:lang w:val="en-GB"/>
        </w:rPr>
        <w:t>An address that is provided subject to instructions to hold all mail to that address is not the address of the Entity's principal</w:t>
      </w:r>
      <w:r w:rsidRPr="00F11E57">
        <w:rPr>
          <w:spacing w:val="-6"/>
          <w:lang w:val="en-GB"/>
        </w:rPr>
        <w:t xml:space="preserve"> </w:t>
      </w:r>
      <w:r w:rsidRPr="00F11E57">
        <w:rPr>
          <w:lang w:val="en-GB"/>
        </w:rPr>
        <w:t>office.</w:t>
      </w:r>
    </w:p>
    <w:p w14:paraId="457E3B2B" w14:textId="77777777" w:rsidR="00136E94" w:rsidRPr="00F11E57" w:rsidRDefault="00136E94" w:rsidP="00136E94">
      <w:pPr>
        <w:pStyle w:val="ListParagraph"/>
        <w:tabs>
          <w:tab w:val="left" w:pos="621"/>
        </w:tabs>
        <w:spacing w:before="1" w:line="274" w:lineRule="auto"/>
        <w:ind w:left="620" w:right="1095" w:firstLine="0"/>
        <w:rPr>
          <w:lang w:val="en-GB"/>
        </w:rPr>
      </w:pPr>
    </w:p>
    <w:p w14:paraId="08ADCF1D" w14:textId="77777777" w:rsidR="002379E1" w:rsidRPr="00F11E57" w:rsidRDefault="002379E1">
      <w:pPr>
        <w:rPr>
          <w:b/>
          <w:lang w:val="en-GB"/>
        </w:rPr>
      </w:pPr>
      <w:r w:rsidRPr="00F11E57">
        <w:rPr>
          <w:b/>
          <w:lang w:val="en-GB"/>
        </w:rPr>
        <w:br w:type="page"/>
      </w:r>
    </w:p>
    <w:p w14:paraId="388D435B" w14:textId="53AC00F6" w:rsidR="00AB5574" w:rsidRPr="00F11E57" w:rsidRDefault="006F79B6" w:rsidP="005557B1">
      <w:pPr>
        <w:spacing w:before="1" w:line="274" w:lineRule="auto"/>
        <w:ind w:left="2143" w:right="2458"/>
        <w:jc w:val="center"/>
        <w:rPr>
          <w:b/>
          <w:lang w:val="en-GB"/>
        </w:rPr>
      </w:pPr>
      <w:r w:rsidRPr="00F11E57">
        <w:rPr>
          <w:b/>
          <w:lang w:val="en-GB"/>
        </w:rPr>
        <w:lastRenderedPageBreak/>
        <w:t>ANNEX 1</w:t>
      </w:r>
    </w:p>
    <w:p w14:paraId="1E5DC943" w14:textId="77777777" w:rsidR="00AB5574" w:rsidRPr="00F11E57" w:rsidRDefault="006F79B6" w:rsidP="005557B1">
      <w:pPr>
        <w:spacing w:before="1" w:line="274" w:lineRule="auto"/>
        <w:ind w:right="573"/>
        <w:jc w:val="right"/>
        <w:rPr>
          <w:lang w:val="en-GB"/>
        </w:rPr>
      </w:pPr>
      <w:r w:rsidRPr="00F11E57">
        <w:rPr>
          <w:lang w:val="en-GB"/>
        </w:rPr>
        <w:t>(</w:t>
      </w:r>
      <w:r w:rsidRPr="00F11E57">
        <w:rPr>
          <w:i/>
          <w:lang w:val="en-GB"/>
        </w:rPr>
        <w:t>Section VIII</w:t>
      </w:r>
      <w:r w:rsidRPr="00F11E57">
        <w:rPr>
          <w:lang w:val="en-GB"/>
        </w:rPr>
        <w:t>)</w:t>
      </w:r>
    </w:p>
    <w:p w14:paraId="0EFEC298" w14:textId="77777777" w:rsidR="00AB5574" w:rsidRPr="00F11E57" w:rsidRDefault="00AB5574" w:rsidP="005557B1">
      <w:pPr>
        <w:pStyle w:val="BodyText"/>
        <w:spacing w:before="1" w:line="274" w:lineRule="auto"/>
        <w:ind w:firstLine="0"/>
        <w:rPr>
          <w:sz w:val="24"/>
          <w:lang w:val="en-GB"/>
        </w:rPr>
      </w:pPr>
    </w:p>
    <w:p w14:paraId="5E7BFDFC" w14:textId="77777777" w:rsidR="00AB5574" w:rsidRPr="00F11E57" w:rsidRDefault="006F79B6" w:rsidP="005557B1">
      <w:pPr>
        <w:spacing w:before="1" w:line="274" w:lineRule="auto"/>
        <w:ind w:left="260"/>
        <w:rPr>
          <w:b/>
          <w:lang w:val="en-GB"/>
        </w:rPr>
      </w:pPr>
      <w:r w:rsidRPr="00F11E57">
        <w:rPr>
          <w:b/>
          <w:lang w:val="en-GB"/>
        </w:rPr>
        <w:t>NON-REPORTING FINANCIAL INSTITUTIONS</w:t>
      </w:r>
    </w:p>
    <w:p w14:paraId="55CB924C" w14:textId="0B646EE9" w:rsidR="00AB5574" w:rsidRPr="00F11E57" w:rsidRDefault="006F79B6" w:rsidP="00F64FEA">
      <w:pPr>
        <w:pStyle w:val="BodyText"/>
        <w:spacing w:before="1" w:line="274" w:lineRule="auto"/>
        <w:ind w:left="260" w:firstLine="0"/>
        <w:rPr>
          <w:lang w:val="de-DE"/>
        </w:rPr>
      </w:pPr>
      <w:r w:rsidRPr="00F11E57">
        <w:rPr>
          <w:lang w:val="en-GB"/>
        </w:rPr>
        <w:t>For the purposes of the</w:t>
      </w:r>
      <w:r w:rsidR="00F64FEA" w:rsidRPr="00F11E57">
        <w:rPr>
          <w:lang w:val="en-GB"/>
        </w:rPr>
        <w:t>se Regulations</w:t>
      </w:r>
      <w:r w:rsidRPr="00F11E57">
        <w:rPr>
          <w:lang w:val="en-GB"/>
        </w:rPr>
        <w:t>, the following are non-r</w:t>
      </w:r>
      <w:r w:rsidR="00A6142A" w:rsidRPr="00F11E57">
        <w:rPr>
          <w:lang w:val="en-GB"/>
        </w:rPr>
        <w:t>eporting financial institutions</w:t>
      </w:r>
      <w:r w:rsidR="00A6142A" w:rsidRPr="00F11E57">
        <w:rPr>
          <w:lang w:val="de-DE"/>
        </w:rPr>
        <w:t>:</w:t>
      </w:r>
    </w:p>
    <w:p w14:paraId="5D8F4F13" w14:textId="7857993C" w:rsidR="00A6142A" w:rsidRPr="00F11E57" w:rsidRDefault="00A6142A" w:rsidP="005557B1">
      <w:pPr>
        <w:pStyle w:val="BodyText"/>
        <w:spacing w:before="1" w:line="274" w:lineRule="auto"/>
        <w:ind w:left="260" w:firstLine="0"/>
        <w:rPr>
          <w:lang w:val="de-DE"/>
        </w:rPr>
      </w:pPr>
      <w:r w:rsidRPr="00F11E57">
        <w:rPr>
          <w:lang w:val="de-DE"/>
        </w:rPr>
        <w:t>None.</w:t>
      </w:r>
    </w:p>
    <w:p w14:paraId="7DB86112" w14:textId="77777777" w:rsidR="00AB5574" w:rsidRPr="00F11E57" w:rsidRDefault="00AB5574" w:rsidP="005557B1">
      <w:pPr>
        <w:pStyle w:val="BodyText"/>
        <w:spacing w:before="1" w:line="274" w:lineRule="auto"/>
        <w:ind w:firstLine="0"/>
        <w:rPr>
          <w:sz w:val="20"/>
          <w:lang w:val="en-GB"/>
        </w:rPr>
      </w:pPr>
    </w:p>
    <w:p w14:paraId="2570EC39" w14:textId="77777777" w:rsidR="00AB5574" w:rsidRPr="00F11E57" w:rsidRDefault="00AB5574" w:rsidP="005557B1">
      <w:pPr>
        <w:pStyle w:val="BodyText"/>
        <w:spacing w:before="1" w:line="274" w:lineRule="auto"/>
        <w:ind w:firstLine="0"/>
        <w:rPr>
          <w:sz w:val="20"/>
          <w:lang w:val="en-GB"/>
        </w:rPr>
      </w:pPr>
    </w:p>
    <w:p w14:paraId="782303C5" w14:textId="77777777" w:rsidR="00AB5574" w:rsidRPr="00F11E57" w:rsidRDefault="00AB5574" w:rsidP="005557B1">
      <w:pPr>
        <w:pStyle w:val="BodyText"/>
        <w:spacing w:before="1" w:line="274" w:lineRule="auto"/>
        <w:ind w:firstLine="0"/>
        <w:rPr>
          <w:sz w:val="20"/>
          <w:lang w:val="en-GB"/>
        </w:rPr>
      </w:pPr>
    </w:p>
    <w:p w14:paraId="72549E31" w14:textId="77777777" w:rsidR="00AB5574" w:rsidRPr="00F11E57" w:rsidRDefault="00AB5574" w:rsidP="005557B1">
      <w:pPr>
        <w:pStyle w:val="BodyText"/>
        <w:spacing w:before="1" w:line="274" w:lineRule="auto"/>
        <w:ind w:firstLine="0"/>
        <w:rPr>
          <w:sz w:val="20"/>
          <w:lang w:val="en-GB"/>
        </w:rPr>
      </w:pPr>
    </w:p>
    <w:p w14:paraId="3345A0EF" w14:textId="77777777" w:rsidR="00AB5574" w:rsidRPr="00F11E57" w:rsidRDefault="006F79B6" w:rsidP="005557B1">
      <w:pPr>
        <w:spacing w:before="1" w:line="274" w:lineRule="auto"/>
        <w:ind w:left="2143" w:right="2458"/>
        <w:jc w:val="center"/>
        <w:rPr>
          <w:b/>
          <w:lang w:val="en-GB"/>
        </w:rPr>
      </w:pPr>
      <w:r w:rsidRPr="00F11E57">
        <w:rPr>
          <w:b/>
          <w:lang w:val="en-GB"/>
        </w:rPr>
        <w:t>ANNEX 2</w:t>
      </w:r>
    </w:p>
    <w:p w14:paraId="113BB04B" w14:textId="77777777" w:rsidR="00AB5574" w:rsidRPr="00F11E57" w:rsidRDefault="006F79B6" w:rsidP="005557B1">
      <w:pPr>
        <w:spacing w:before="1" w:line="274" w:lineRule="auto"/>
        <w:ind w:right="573"/>
        <w:jc w:val="right"/>
        <w:rPr>
          <w:lang w:val="en-GB"/>
        </w:rPr>
      </w:pPr>
      <w:r w:rsidRPr="00F11E57">
        <w:rPr>
          <w:lang w:val="en-GB"/>
        </w:rPr>
        <w:t>(</w:t>
      </w:r>
      <w:r w:rsidRPr="00F11E57">
        <w:rPr>
          <w:i/>
          <w:lang w:val="en-GB"/>
        </w:rPr>
        <w:t>Section VIII</w:t>
      </w:r>
      <w:r w:rsidRPr="00F11E57">
        <w:rPr>
          <w:lang w:val="en-GB"/>
        </w:rPr>
        <w:t>)</w:t>
      </w:r>
    </w:p>
    <w:p w14:paraId="39E6DAF4" w14:textId="77777777" w:rsidR="00AB5574" w:rsidRPr="00F11E57" w:rsidRDefault="00AB5574" w:rsidP="005557B1">
      <w:pPr>
        <w:pStyle w:val="BodyText"/>
        <w:spacing w:before="1" w:line="274" w:lineRule="auto"/>
        <w:ind w:firstLine="0"/>
        <w:rPr>
          <w:sz w:val="24"/>
          <w:lang w:val="en-GB"/>
        </w:rPr>
      </w:pPr>
    </w:p>
    <w:p w14:paraId="686A94D6" w14:textId="77777777" w:rsidR="00AB5574" w:rsidRPr="00F11E57" w:rsidRDefault="006F79B6" w:rsidP="005557B1">
      <w:pPr>
        <w:spacing w:before="1" w:line="274" w:lineRule="auto"/>
        <w:ind w:left="260"/>
        <w:rPr>
          <w:b/>
          <w:lang w:val="en-GB"/>
        </w:rPr>
      </w:pPr>
      <w:r w:rsidRPr="00F11E57">
        <w:rPr>
          <w:b/>
          <w:lang w:val="en-GB"/>
        </w:rPr>
        <w:t>EXCLUDED ACCOUNTS</w:t>
      </w:r>
    </w:p>
    <w:p w14:paraId="5BDCB98C" w14:textId="561F5531" w:rsidR="00AB5574" w:rsidRPr="00F11E57" w:rsidRDefault="006F79B6" w:rsidP="00F64FEA">
      <w:pPr>
        <w:pStyle w:val="BodyText"/>
        <w:spacing w:before="1" w:line="274" w:lineRule="auto"/>
        <w:ind w:left="260" w:firstLine="0"/>
        <w:rPr>
          <w:lang w:val="en-GB"/>
        </w:rPr>
      </w:pPr>
      <w:r w:rsidRPr="00F11E57">
        <w:rPr>
          <w:lang w:val="en-GB"/>
        </w:rPr>
        <w:t xml:space="preserve">For the purposes of </w:t>
      </w:r>
      <w:r w:rsidR="00AD06CF" w:rsidRPr="00F11E57">
        <w:rPr>
          <w:lang w:val="en-GB"/>
        </w:rPr>
        <w:t>sub</w:t>
      </w:r>
      <w:r w:rsidR="009A6B92" w:rsidRPr="00F11E57">
        <w:rPr>
          <w:lang w:val="en-GB"/>
        </w:rPr>
        <w:t>paragraph C(17)</w:t>
      </w:r>
      <w:r w:rsidR="009237D3" w:rsidRPr="00F11E57">
        <w:rPr>
          <w:lang w:val="en-GB"/>
        </w:rPr>
        <w:t xml:space="preserve">(g) of </w:t>
      </w:r>
      <w:r w:rsidR="009A6B92" w:rsidRPr="00F11E57">
        <w:rPr>
          <w:lang w:val="en-GB"/>
        </w:rPr>
        <w:t xml:space="preserve">Section VIII of </w:t>
      </w:r>
      <w:r w:rsidRPr="00F11E57">
        <w:rPr>
          <w:lang w:val="en-GB"/>
        </w:rPr>
        <w:t>the</w:t>
      </w:r>
      <w:r w:rsidR="00F64FEA" w:rsidRPr="00F11E57">
        <w:rPr>
          <w:lang w:val="en-GB"/>
        </w:rPr>
        <w:t xml:space="preserve">se Regulations </w:t>
      </w:r>
      <w:r w:rsidRPr="00F11E57">
        <w:rPr>
          <w:lang w:val="en-GB"/>
        </w:rPr>
        <w:t>the following a</w:t>
      </w:r>
      <w:r w:rsidR="00136E94" w:rsidRPr="00F11E57">
        <w:rPr>
          <w:lang w:val="en-GB"/>
        </w:rPr>
        <w:t>re excluded accounts:</w:t>
      </w:r>
    </w:p>
    <w:p w14:paraId="37FEAF63" w14:textId="20AC1B82" w:rsidR="00136E94" w:rsidRPr="00F11E57" w:rsidRDefault="00136E94" w:rsidP="005557B1">
      <w:pPr>
        <w:pStyle w:val="BodyText"/>
        <w:spacing w:before="1" w:line="274" w:lineRule="auto"/>
        <w:ind w:left="260" w:firstLine="0"/>
        <w:rPr>
          <w:lang w:val="en-GB"/>
        </w:rPr>
      </w:pPr>
      <w:r w:rsidRPr="00F11E57">
        <w:rPr>
          <w:lang w:val="en-GB"/>
        </w:rPr>
        <w:t>None.</w:t>
      </w:r>
    </w:p>
    <w:p w14:paraId="45C3B887" w14:textId="77777777" w:rsidR="00136E94" w:rsidRPr="00F11E57" w:rsidRDefault="00136E94" w:rsidP="00136E94">
      <w:pPr>
        <w:pStyle w:val="BodyText"/>
        <w:spacing w:before="1" w:line="274" w:lineRule="auto"/>
        <w:ind w:firstLine="0"/>
        <w:rPr>
          <w:sz w:val="20"/>
          <w:lang w:val="en-GB"/>
        </w:rPr>
      </w:pPr>
    </w:p>
    <w:p w14:paraId="008AEA7D" w14:textId="77777777" w:rsidR="00136E94" w:rsidRPr="00F11E57" w:rsidRDefault="00136E94" w:rsidP="00136E94">
      <w:pPr>
        <w:pStyle w:val="BodyText"/>
        <w:spacing w:before="1" w:line="274" w:lineRule="auto"/>
        <w:ind w:firstLine="0"/>
        <w:rPr>
          <w:sz w:val="20"/>
          <w:lang w:val="en-GB"/>
        </w:rPr>
      </w:pPr>
    </w:p>
    <w:p w14:paraId="6C526FE9" w14:textId="77777777" w:rsidR="00136E94" w:rsidRPr="00F11E57" w:rsidRDefault="00136E94" w:rsidP="00136E94">
      <w:pPr>
        <w:pStyle w:val="BodyText"/>
        <w:spacing w:before="1" w:line="274" w:lineRule="auto"/>
        <w:ind w:firstLine="0"/>
        <w:rPr>
          <w:sz w:val="20"/>
          <w:lang w:val="en-GB"/>
        </w:rPr>
      </w:pPr>
    </w:p>
    <w:p w14:paraId="319C27D2" w14:textId="77777777" w:rsidR="00136E94" w:rsidRPr="00F11E57" w:rsidRDefault="00136E94" w:rsidP="00136E94">
      <w:pPr>
        <w:pStyle w:val="BodyText"/>
        <w:spacing w:before="1" w:line="274" w:lineRule="auto"/>
        <w:ind w:firstLine="0"/>
        <w:rPr>
          <w:sz w:val="20"/>
          <w:lang w:val="en-GB"/>
        </w:rPr>
      </w:pPr>
    </w:p>
    <w:p w14:paraId="23DE6667" w14:textId="77777777" w:rsidR="00AB5574" w:rsidRPr="00F11E57" w:rsidRDefault="006F79B6" w:rsidP="005557B1">
      <w:pPr>
        <w:spacing w:before="1" w:line="274" w:lineRule="auto"/>
        <w:ind w:left="2143" w:right="2458"/>
        <w:jc w:val="center"/>
        <w:rPr>
          <w:b/>
          <w:lang w:val="en-GB"/>
        </w:rPr>
      </w:pPr>
      <w:r w:rsidRPr="00F11E57">
        <w:rPr>
          <w:b/>
          <w:lang w:val="en-GB"/>
        </w:rPr>
        <w:t>ANNEX 3</w:t>
      </w:r>
    </w:p>
    <w:p w14:paraId="260B4C3F" w14:textId="77777777" w:rsidR="00AB5574" w:rsidRPr="00F11E57" w:rsidRDefault="006F79B6" w:rsidP="005557B1">
      <w:pPr>
        <w:spacing w:before="1" w:line="274" w:lineRule="auto"/>
        <w:ind w:right="573"/>
        <w:jc w:val="right"/>
        <w:rPr>
          <w:lang w:val="en-GB"/>
        </w:rPr>
      </w:pPr>
      <w:r w:rsidRPr="00F11E57">
        <w:rPr>
          <w:lang w:val="en-GB"/>
        </w:rPr>
        <w:t>(</w:t>
      </w:r>
      <w:r w:rsidRPr="00F11E57">
        <w:rPr>
          <w:i/>
          <w:lang w:val="en-GB"/>
        </w:rPr>
        <w:t>Section VIII</w:t>
      </w:r>
      <w:r w:rsidRPr="00F11E57">
        <w:rPr>
          <w:lang w:val="en-GB"/>
        </w:rPr>
        <w:t>)</w:t>
      </w:r>
    </w:p>
    <w:p w14:paraId="35D19F01" w14:textId="77777777" w:rsidR="00AB5574" w:rsidRPr="00F11E57" w:rsidRDefault="00AB5574" w:rsidP="005557B1">
      <w:pPr>
        <w:pStyle w:val="BodyText"/>
        <w:spacing w:before="1" w:line="274" w:lineRule="auto"/>
        <w:ind w:firstLine="0"/>
        <w:rPr>
          <w:sz w:val="24"/>
          <w:lang w:val="en-GB"/>
        </w:rPr>
      </w:pPr>
    </w:p>
    <w:p w14:paraId="45CDC440" w14:textId="77777777" w:rsidR="00AB5574" w:rsidRPr="00F11E57" w:rsidRDefault="006F79B6" w:rsidP="005557B1">
      <w:pPr>
        <w:spacing w:before="1" w:line="274" w:lineRule="auto"/>
        <w:ind w:left="260"/>
        <w:rPr>
          <w:b/>
          <w:lang w:val="en-GB"/>
        </w:rPr>
      </w:pPr>
      <w:r w:rsidRPr="00F11E57">
        <w:rPr>
          <w:b/>
          <w:lang w:val="en-GB"/>
        </w:rPr>
        <w:t>PARTICIPATING JURISDICTIONS</w:t>
      </w:r>
    </w:p>
    <w:p w14:paraId="01EEB1C2" w14:textId="1F05D1A9" w:rsidR="00AB5574" w:rsidRPr="004C15B1" w:rsidRDefault="00F64FEA" w:rsidP="00A97817">
      <w:pPr>
        <w:pStyle w:val="BodyText"/>
        <w:spacing w:before="1" w:line="274" w:lineRule="auto"/>
        <w:ind w:left="260" w:firstLine="0"/>
        <w:rPr>
          <w:lang w:val="en-GB"/>
        </w:rPr>
      </w:pPr>
      <w:r w:rsidRPr="00F11E57">
        <w:rPr>
          <w:lang w:val="en-GB"/>
        </w:rPr>
        <w:t xml:space="preserve">For the purposes of these </w:t>
      </w:r>
      <w:r w:rsidR="00BE02A0" w:rsidRPr="00F11E57">
        <w:rPr>
          <w:lang w:val="en-GB"/>
        </w:rPr>
        <w:t>Regulations,</w:t>
      </w:r>
      <w:r w:rsidRPr="00F11E57">
        <w:rPr>
          <w:lang w:val="en-GB"/>
        </w:rPr>
        <w:t xml:space="preserve"> t</w:t>
      </w:r>
      <w:r w:rsidR="003E0A5E" w:rsidRPr="00F11E57">
        <w:rPr>
          <w:lang w:val="en-GB"/>
        </w:rPr>
        <w:t>he list of Participating Jurisdictions</w:t>
      </w:r>
      <w:r w:rsidR="00C407C0" w:rsidRPr="00F11E57">
        <w:rPr>
          <w:lang w:val="en-GB"/>
        </w:rPr>
        <w:t xml:space="preserve">, which may be revised from time to time, </w:t>
      </w:r>
      <w:r w:rsidR="003E0A5E" w:rsidRPr="00F11E57">
        <w:rPr>
          <w:lang w:val="en-GB"/>
        </w:rPr>
        <w:t xml:space="preserve">is </w:t>
      </w:r>
      <w:r w:rsidR="00661301" w:rsidRPr="00F11E57">
        <w:rPr>
          <w:lang w:val="en-GB"/>
        </w:rPr>
        <w:t xml:space="preserve">published on the </w:t>
      </w:r>
      <w:r w:rsidR="00A97817" w:rsidRPr="00F11E57">
        <w:rPr>
          <w:lang w:val="en-GB"/>
        </w:rPr>
        <w:t>web</w:t>
      </w:r>
      <w:r w:rsidR="00661301" w:rsidRPr="00F11E57">
        <w:rPr>
          <w:lang w:val="en-GB"/>
        </w:rPr>
        <w:t xml:space="preserve">page of the </w:t>
      </w:r>
      <w:r w:rsidR="00AC6CD1" w:rsidRPr="00F11E57">
        <w:rPr>
          <w:lang w:val="en-GB"/>
        </w:rPr>
        <w:t xml:space="preserve">UAE </w:t>
      </w:r>
      <w:r w:rsidR="00661301" w:rsidRPr="00F11E57">
        <w:rPr>
          <w:lang w:val="en-GB"/>
        </w:rPr>
        <w:t>Competent Authority.</w:t>
      </w:r>
    </w:p>
    <w:p w14:paraId="14DDCB2B" w14:textId="77777777" w:rsidR="00B0073A" w:rsidRPr="004C15B1" w:rsidRDefault="00B0073A">
      <w:pPr>
        <w:pStyle w:val="BodyText"/>
        <w:spacing w:before="1" w:line="274" w:lineRule="auto"/>
        <w:ind w:left="260" w:firstLine="0"/>
        <w:rPr>
          <w:lang w:val="en-GB"/>
        </w:rPr>
      </w:pPr>
    </w:p>
    <w:sectPr w:rsidR="00B0073A" w:rsidRPr="004C15B1" w:rsidSect="004F4016">
      <w:pgSz w:w="11910" w:h="16840" w:code="9"/>
      <w:pgMar w:top="1382" w:right="864" w:bottom="1195" w:left="1181"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35E4F" w14:textId="77777777" w:rsidR="00310520" w:rsidRDefault="00310520">
      <w:r>
        <w:separator/>
      </w:r>
    </w:p>
  </w:endnote>
  <w:endnote w:type="continuationSeparator" w:id="0">
    <w:p w14:paraId="7476F850" w14:textId="77777777" w:rsidR="00310520" w:rsidRDefault="00310520">
      <w:r>
        <w:continuationSeparator/>
      </w:r>
    </w:p>
  </w:endnote>
  <w:endnote w:type="continuationNotice" w:id="1">
    <w:p w14:paraId="774802BA" w14:textId="77777777" w:rsidR="00310520" w:rsidRDefault="00310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Bold"/>
    <w:panose1 w:val="00000000000000000000"/>
    <w:charset w:val="4D"/>
    <w:family w:val="auto"/>
    <w:notTrueType/>
    <w:pitch w:val="default"/>
    <w:sig w:usb0="00003A87" w:usb1="00000000" w:usb2="00000000" w:usb3="00000000" w:csb0="0000006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CA53D" w14:textId="1508B34B" w:rsidR="00237970" w:rsidRDefault="00237970">
    <w:pPr>
      <w:pStyle w:val="BodyText"/>
      <w:spacing w:line="14" w:lineRule="auto"/>
      <w:ind w:firstLine="0"/>
      <w:rPr>
        <w:sz w:val="20"/>
      </w:rPr>
    </w:pPr>
    <w:r>
      <w:rPr>
        <w:noProof/>
        <w:lang w:val="en-GB" w:eastAsia="en-GB"/>
      </w:rPr>
      <mc:AlternateContent>
        <mc:Choice Requires="wps">
          <w:drawing>
            <wp:anchor distT="0" distB="0" distL="114300" distR="114300" simplePos="0" relativeHeight="251656704" behindDoc="1" locked="0" layoutInCell="1" allowOverlap="1" wp14:anchorId="33610868" wp14:editId="117A0D0B">
              <wp:simplePos x="0" y="0"/>
              <wp:positionH relativeFrom="page">
                <wp:posOffset>3291205</wp:posOffset>
              </wp:positionH>
              <wp:positionV relativeFrom="page">
                <wp:posOffset>9963150</wp:posOffset>
              </wp:positionV>
              <wp:extent cx="1090930" cy="241300"/>
              <wp:effectExtent l="0" t="0" r="12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413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EE4B88" w14:textId="556DBB21" w:rsidR="00237970" w:rsidRDefault="00237970" w:rsidP="00816CD7">
                          <w:pPr>
                            <w:spacing w:before="21"/>
                            <w:ind w:left="20"/>
                            <w:rPr>
                              <w:rFonts w:ascii="Lucida Sans Unicode"/>
                              <w:b/>
                            </w:rPr>
                          </w:pPr>
                          <w:r>
                            <w:rPr>
                              <w:rFonts w:ascii="Lucida Sans Unicode"/>
                            </w:rPr>
                            <w:t xml:space="preserve">Page </w:t>
                          </w:r>
                          <w:r>
                            <w:fldChar w:fldCharType="begin"/>
                          </w:r>
                          <w:r>
                            <w:rPr>
                              <w:rFonts w:ascii="Lucida Sans Unicode"/>
                              <w:b/>
                            </w:rPr>
                            <w:instrText xml:space="preserve"> PAGE </w:instrText>
                          </w:r>
                          <w:r>
                            <w:fldChar w:fldCharType="separate"/>
                          </w:r>
                          <w:r w:rsidR="00E501CE">
                            <w:rPr>
                              <w:rFonts w:ascii="Lucida Sans Unicode"/>
                              <w:b/>
                              <w:noProof/>
                            </w:rPr>
                            <w:t>2</w:t>
                          </w:r>
                          <w:r>
                            <w:fldChar w:fldCharType="end"/>
                          </w:r>
                          <w:r>
                            <w:rPr>
                              <w:rFonts w:ascii="Lucida Sans Unicode"/>
                              <w:b/>
                            </w:rPr>
                            <w:t xml:space="preserve"> </w:t>
                          </w:r>
                          <w:r>
                            <w:rPr>
                              <w:rFonts w:ascii="Lucida Sans Unicode"/>
                            </w:rPr>
                            <w:t xml:space="preserve">of </w:t>
                          </w:r>
                          <w:r w:rsidR="006C4AF5">
                            <w:rPr>
                              <w:rFonts w:ascii="Lucida Sans Unicode"/>
                              <w:b/>
                              <w:bCs/>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10868" id="_x0000_t202" coordsize="21600,21600" o:spt="202" path="m,l,21600r21600,l21600,xe">
              <v:stroke joinstyle="miter"/>
              <v:path gradientshapeok="t" o:connecttype="rect"/>
            </v:shapetype>
            <v:shape id="Text Box 2" o:spid="_x0000_s1026" type="#_x0000_t202" style="position:absolute;margin-left:259.15pt;margin-top:784.5pt;width:85.9pt;height:1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" filled="f" stroked="f">
              <v:textbox inset="0,0,0,0">
                <w:txbxContent>
                  <w:p w14:paraId="63EE4B88" w14:textId="556DBB21" w:rsidR="00237970" w:rsidRDefault="00237970" w:rsidP="00816CD7">
                    <w:pPr>
                      <w:spacing w:before="21"/>
                      <w:ind w:left="20"/>
                      <w:rPr>
                        <w:rFonts w:ascii="Lucida Sans Unicode"/>
                        <w:b/>
                      </w:rPr>
                    </w:pPr>
                    <w:r>
                      <w:rPr>
                        <w:rFonts w:ascii="Lucida Sans Unicode"/>
                      </w:rPr>
                      <w:t xml:space="preserve">Page </w:t>
                    </w:r>
                    <w:r>
                      <w:fldChar w:fldCharType="begin"/>
                    </w:r>
                    <w:r>
                      <w:rPr>
                        <w:rFonts w:ascii="Lucida Sans Unicode"/>
                        <w:b/>
                      </w:rPr>
                      <w:instrText xml:space="preserve"> PAGE </w:instrText>
                    </w:r>
                    <w:r>
                      <w:fldChar w:fldCharType="separate"/>
                    </w:r>
                    <w:r w:rsidR="00E501CE">
                      <w:rPr>
                        <w:rFonts w:ascii="Lucida Sans Unicode"/>
                        <w:b/>
                        <w:noProof/>
                      </w:rPr>
                      <w:t>2</w:t>
                    </w:r>
                    <w:r>
                      <w:fldChar w:fldCharType="end"/>
                    </w:r>
                    <w:r>
                      <w:rPr>
                        <w:rFonts w:ascii="Lucida Sans Unicode"/>
                        <w:b/>
                      </w:rPr>
                      <w:t xml:space="preserve"> </w:t>
                    </w:r>
                    <w:r>
                      <w:rPr>
                        <w:rFonts w:ascii="Lucida Sans Unicode"/>
                      </w:rPr>
                      <w:t xml:space="preserve">of </w:t>
                    </w:r>
                    <w:r w:rsidR="006C4AF5">
                      <w:rPr>
                        <w:rFonts w:ascii="Lucida Sans Unicode"/>
                        <w:b/>
                        <w:bCs/>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0D99" w14:textId="2712D1B0" w:rsidR="00237970" w:rsidRDefault="00237970">
    <w:pPr>
      <w:pStyle w:val="BodyText"/>
      <w:spacing w:line="14" w:lineRule="auto"/>
      <w:ind w:firstLine="0"/>
      <w:rPr>
        <w:sz w:val="20"/>
      </w:rPr>
    </w:pPr>
    <w:r>
      <w:rPr>
        <w:noProof/>
        <w:lang w:val="en-GB" w:eastAsia="en-GB"/>
      </w:rPr>
      <mc:AlternateContent>
        <mc:Choice Requires="wps">
          <w:drawing>
            <wp:anchor distT="0" distB="0" distL="114300" distR="114300" simplePos="0" relativeHeight="251659264" behindDoc="1" locked="0" layoutInCell="1" allowOverlap="1" wp14:anchorId="18031326" wp14:editId="1E8684EB">
              <wp:simplePos x="0" y="0"/>
              <wp:positionH relativeFrom="page">
                <wp:posOffset>3336966</wp:posOffset>
              </wp:positionH>
              <wp:positionV relativeFrom="page">
                <wp:posOffset>10010899</wp:posOffset>
              </wp:positionV>
              <wp:extent cx="1033153" cy="241300"/>
              <wp:effectExtent l="0" t="0" r="14605"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53" cy="2413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57FFD9" w14:textId="1087B8CB" w:rsidR="00237970" w:rsidRDefault="00237970" w:rsidP="0044480D">
                          <w:pPr>
                            <w:spacing w:before="21"/>
                            <w:ind w:left="20"/>
                            <w:rPr>
                              <w:rFonts w:ascii="Lucida Sans Unicode"/>
                              <w:b/>
                            </w:rPr>
                          </w:pPr>
                          <w:r>
                            <w:rPr>
                              <w:rFonts w:ascii="Lucida Sans Unicode"/>
                            </w:rPr>
                            <w:t xml:space="preserve">Page </w:t>
                          </w:r>
                          <w:r>
                            <w:fldChar w:fldCharType="begin"/>
                          </w:r>
                          <w:r>
                            <w:rPr>
                              <w:rFonts w:ascii="Lucida Sans Unicode"/>
                              <w:b/>
                            </w:rPr>
                            <w:instrText xml:space="preserve"> PAGE </w:instrText>
                          </w:r>
                          <w:r>
                            <w:fldChar w:fldCharType="separate"/>
                          </w:r>
                          <w:r w:rsidR="00E501CE">
                            <w:rPr>
                              <w:rFonts w:ascii="Lucida Sans Unicode"/>
                              <w:b/>
                              <w:noProof/>
                            </w:rPr>
                            <w:t>12</w:t>
                          </w:r>
                          <w:r>
                            <w:fldChar w:fldCharType="end"/>
                          </w:r>
                          <w:r>
                            <w:rPr>
                              <w:rFonts w:ascii="Lucida Sans Unicode"/>
                              <w:b/>
                            </w:rPr>
                            <w:t xml:space="preserve"> </w:t>
                          </w:r>
                          <w:r>
                            <w:rPr>
                              <w:rFonts w:ascii="Lucida Sans Unicode"/>
                            </w:rPr>
                            <w:t xml:space="preserve">of </w:t>
                          </w:r>
                          <w:r>
                            <w:rPr>
                              <w:rFonts w:ascii="Lucida Sans Unicode"/>
                              <w:b/>
                            </w:rPr>
                            <w:t>25</w:t>
                          </w:r>
                        </w:p>
                        <w:p w14:paraId="555488D9" w14:textId="2288274A" w:rsidR="00237970" w:rsidRDefault="00237970" w:rsidP="006868B4">
                          <w:pPr>
                            <w:spacing w:before="21"/>
                            <w:ind w:left="20"/>
                            <w:rPr>
                              <w:rFonts w:ascii="Lucida Sans Unicode"/>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31326" id="_x0000_t202" coordsize="21600,21600" o:spt="202" path="m,l,21600r21600,l21600,xe">
              <v:stroke joinstyle="miter"/>
              <v:path gradientshapeok="t" o:connecttype="rect"/>
            </v:shapetype>
            <v:shape id="_x0000_s1027" type="#_x0000_t202" style="position:absolute;margin-left:262.75pt;margin-top:788.25pt;width:81.35pt;height: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" filled="f" stroked="f">
              <v:textbox inset="0,0,0,0">
                <w:txbxContent>
                  <w:p w14:paraId="5C57FFD9" w14:textId="1087B8CB" w:rsidR="00237970" w:rsidRDefault="00237970" w:rsidP="0044480D">
                    <w:pPr>
                      <w:spacing w:before="21"/>
                      <w:ind w:left="20"/>
                      <w:rPr>
                        <w:rFonts w:ascii="Lucida Sans Unicode"/>
                        <w:b/>
                      </w:rPr>
                    </w:pPr>
                    <w:r>
                      <w:rPr>
                        <w:rFonts w:ascii="Lucida Sans Unicode"/>
                      </w:rPr>
                      <w:t xml:space="preserve">Page </w:t>
                    </w:r>
                    <w:r>
                      <w:fldChar w:fldCharType="begin"/>
                    </w:r>
                    <w:r>
                      <w:rPr>
                        <w:rFonts w:ascii="Lucida Sans Unicode"/>
                        <w:b/>
                      </w:rPr>
                      <w:instrText xml:space="preserve"> PAGE </w:instrText>
                    </w:r>
                    <w:r>
                      <w:fldChar w:fldCharType="separate"/>
                    </w:r>
                    <w:r w:rsidR="00E501CE">
                      <w:rPr>
                        <w:rFonts w:ascii="Lucida Sans Unicode"/>
                        <w:b/>
                        <w:noProof/>
                      </w:rPr>
                      <w:t>12</w:t>
                    </w:r>
                    <w:r>
                      <w:fldChar w:fldCharType="end"/>
                    </w:r>
                    <w:r>
                      <w:rPr>
                        <w:rFonts w:ascii="Lucida Sans Unicode"/>
                        <w:b/>
                      </w:rPr>
                      <w:t xml:space="preserve"> </w:t>
                    </w:r>
                    <w:r>
                      <w:rPr>
                        <w:rFonts w:ascii="Lucida Sans Unicode"/>
                      </w:rPr>
                      <w:t xml:space="preserve">of </w:t>
                    </w:r>
                    <w:r>
                      <w:rPr>
                        <w:rFonts w:ascii="Lucida Sans Unicode"/>
                        <w:b/>
                      </w:rPr>
                      <w:t>25</w:t>
                    </w:r>
                  </w:p>
                  <w:p w14:paraId="555488D9" w14:textId="2288274A" w:rsidR="00237970" w:rsidRDefault="00237970" w:rsidP="006868B4">
                    <w:pPr>
                      <w:spacing w:before="21"/>
                      <w:ind w:left="20"/>
                      <w:rPr>
                        <w:rFonts w:ascii="Lucida Sans Unicode"/>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4C1FE" w14:textId="77777777" w:rsidR="00310520" w:rsidRDefault="00310520">
      <w:r>
        <w:separator/>
      </w:r>
    </w:p>
  </w:footnote>
  <w:footnote w:type="continuationSeparator" w:id="0">
    <w:p w14:paraId="72B604FB" w14:textId="77777777" w:rsidR="00310520" w:rsidRDefault="00310520">
      <w:r>
        <w:continuationSeparator/>
      </w:r>
    </w:p>
  </w:footnote>
  <w:footnote w:type="continuationNotice" w:id="1">
    <w:p w14:paraId="6E33CE80" w14:textId="77777777" w:rsidR="00310520" w:rsidRDefault="00310520"/>
  </w:footnote>
  <w:footnote w:id="2">
    <w:p w14:paraId="708518CE" w14:textId="1FC5A75E" w:rsidR="00237970" w:rsidRPr="00B236C0" w:rsidRDefault="00237970" w:rsidP="00B236C0">
      <w:pPr>
        <w:tabs>
          <w:tab w:val="left" w:pos="393"/>
        </w:tabs>
        <w:spacing w:before="1" w:line="274" w:lineRule="auto"/>
        <w:rPr>
          <w:sz w:val="16"/>
          <w:lang w:val="en-GB"/>
        </w:rPr>
      </w:pPr>
      <w:r w:rsidRPr="00B236C0">
        <w:rPr>
          <w:rStyle w:val="FootnoteReference"/>
          <w:rFonts w:ascii="Lucida Sans Unicode" w:hAnsi="Lucida Sans Unicode" w:cs="Lucida Sans Unicode"/>
        </w:rPr>
        <w:footnoteRef/>
      </w:r>
      <w:r>
        <w:t xml:space="preserve"> </w:t>
      </w:r>
      <w:r w:rsidRPr="00B236C0">
        <w:rPr>
          <w:rFonts w:ascii="Lucida Sans Unicode"/>
          <w:sz w:val="16"/>
          <w:lang w:val="en-GB"/>
        </w:rPr>
        <w:t>OECD Website:</w:t>
      </w:r>
      <w:r w:rsidRPr="00B236C0">
        <w:rPr>
          <w:rFonts w:ascii="Lucida Sans Unicode"/>
          <w:spacing w:val="-4"/>
          <w:sz w:val="16"/>
          <w:lang w:val="en-GB"/>
        </w:rPr>
        <w:t xml:space="preserve"> </w:t>
      </w:r>
      <w:hyperlink r:id="rId1">
        <w:r w:rsidRPr="00B236C0">
          <w:rPr>
            <w:rFonts w:ascii="Lucida Sans Unicode"/>
            <w:sz w:val="16"/>
            <w:lang w:val="en-GB"/>
          </w:rPr>
          <w:t>http://www.oecd.org/tax/automatic-exchange/common-reporting-standard/</w:t>
        </w:r>
      </w:hyperlink>
      <w:r>
        <w:rPr>
          <w:rFonts w:ascii="Lucida Sans Unicode"/>
          <w:sz w:val="16"/>
          <w:lang w:val="en-GB"/>
        </w:rPr>
        <w:t>.</w:t>
      </w:r>
    </w:p>
    <w:p w14:paraId="4B3911CB" w14:textId="4896DD98" w:rsidR="00237970" w:rsidRPr="00BB60E4" w:rsidRDefault="00237970">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45E4C"/>
    <w:multiLevelType w:val="hybridMultilevel"/>
    <w:tmpl w:val="A9D62482"/>
    <w:lvl w:ilvl="0" w:tplc="19B23C66">
      <w:start w:val="1"/>
      <w:numFmt w:val="decimal"/>
      <w:lvlText w:val="%1."/>
      <w:lvlJc w:val="left"/>
      <w:pPr>
        <w:ind w:left="620" w:hanging="360"/>
      </w:pPr>
      <w:rPr>
        <w:rFonts w:ascii="Calibri" w:eastAsia="Calibri" w:hAnsi="Calibri" w:cs="Calibri" w:hint="default"/>
        <w:w w:val="100"/>
        <w:sz w:val="22"/>
        <w:szCs w:val="22"/>
      </w:rPr>
    </w:lvl>
    <w:lvl w:ilvl="1" w:tplc="91C49AF4">
      <w:start w:val="1"/>
      <w:numFmt w:val="lowerLetter"/>
      <w:lvlText w:val="(%2)"/>
      <w:lvlJc w:val="left"/>
      <w:pPr>
        <w:ind w:left="980" w:hanging="360"/>
      </w:pPr>
      <w:rPr>
        <w:rFonts w:ascii="Calibri" w:eastAsia="Calibri" w:hAnsi="Calibri" w:cs="Calibri" w:hint="default"/>
        <w:spacing w:val="-1"/>
        <w:w w:val="100"/>
        <w:sz w:val="22"/>
        <w:szCs w:val="22"/>
      </w:rPr>
    </w:lvl>
    <w:lvl w:ilvl="2" w:tplc="EE48D92E">
      <w:start w:val="1"/>
      <w:numFmt w:val="lowerRoman"/>
      <w:lvlText w:val="(%3)"/>
      <w:lvlJc w:val="left"/>
      <w:pPr>
        <w:ind w:left="1340" w:hanging="360"/>
      </w:pPr>
      <w:rPr>
        <w:rFonts w:ascii="Calibri" w:eastAsia="Calibri" w:hAnsi="Calibri" w:cs="Calibri" w:hint="default"/>
        <w:spacing w:val="-1"/>
        <w:w w:val="100"/>
        <w:sz w:val="22"/>
        <w:szCs w:val="22"/>
      </w:rPr>
    </w:lvl>
    <w:lvl w:ilvl="3" w:tplc="6428D0FC">
      <w:numFmt w:val="bullet"/>
      <w:lvlText w:val="•"/>
      <w:lvlJc w:val="left"/>
      <w:pPr>
        <w:ind w:left="2405" w:hanging="360"/>
      </w:pPr>
      <w:rPr>
        <w:rFonts w:hint="default"/>
      </w:rPr>
    </w:lvl>
    <w:lvl w:ilvl="4" w:tplc="F9E67A80">
      <w:numFmt w:val="bullet"/>
      <w:lvlText w:val="•"/>
      <w:lvlJc w:val="left"/>
      <w:pPr>
        <w:ind w:left="3471" w:hanging="360"/>
      </w:pPr>
      <w:rPr>
        <w:rFonts w:hint="default"/>
      </w:rPr>
    </w:lvl>
    <w:lvl w:ilvl="5" w:tplc="E94E0892">
      <w:numFmt w:val="bullet"/>
      <w:lvlText w:val="•"/>
      <w:lvlJc w:val="left"/>
      <w:pPr>
        <w:ind w:left="4537" w:hanging="360"/>
      </w:pPr>
      <w:rPr>
        <w:rFonts w:hint="default"/>
      </w:rPr>
    </w:lvl>
    <w:lvl w:ilvl="6" w:tplc="3F749044">
      <w:numFmt w:val="bullet"/>
      <w:lvlText w:val="•"/>
      <w:lvlJc w:val="left"/>
      <w:pPr>
        <w:ind w:left="5603" w:hanging="360"/>
      </w:pPr>
      <w:rPr>
        <w:rFonts w:hint="default"/>
      </w:rPr>
    </w:lvl>
    <w:lvl w:ilvl="7" w:tplc="166CAAF2">
      <w:numFmt w:val="bullet"/>
      <w:lvlText w:val="•"/>
      <w:lvlJc w:val="left"/>
      <w:pPr>
        <w:ind w:left="6669" w:hanging="360"/>
      </w:pPr>
      <w:rPr>
        <w:rFonts w:hint="default"/>
      </w:rPr>
    </w:lvl>
    <w:lvl w:ilvl="8" w:tplc="7906428E">
      <w:numFmt w:val="bullet"/>
      <w:lvlText w:val="•"/>
      <w:lvlJc w:val="left"/>
      <w:pPr>
        <w:ind w:left="7734" w:hanging="360"/>
      </w:pPr>
      <w:rPr>
        <w:rFonts w:hint="default"/>
      </w:rPr>
    </w:lvl>
  </w:abstractNum>
  <w:abstractNum w:abstractNumId="2" w15:restartNumberingAfterBreak="0">
    <w:nsid w:val="04D76B8E"/>
    <w:multiLevelType w:val="hybridMultilevel"/>
    <w:tmpl w:val="97A4E624"/>
    <w:lvl w:ilvl="0" w:tplc="9A3A359E">
      <w:start w:val="1"/>
      <w:numFmt w:val="decimal"/>
      <w:lvlText w:val="%1."/>
      <w:lvlJc w:val="left"/>
      <w:pPr>
        <w:ind w:left="620" w:hanging="360"/>
      </w:pPr>
      <w:rPr>
        <w:rFonts w:ascii="Calibri" w:eastAsia="Calibri" w:hAnsi="Calibri" w:cs="Calibri" w:hint="default"/>
        <w:b w:val="0"/>
        <w:bCs/>
        <w:w w:val="100"/>
        <w:sz w:val="22"/>
        <w:szCs w:val="22"/>
      </w:rPr>
    </w:lvl>
    <w:lvl w:ilvl="1" w:tplc="C34E02F0">
      <w:start w:val="1"/>
      <w:numFmt w:val="lowerLetter"/>
      <w:lvlText w:val="(%2)"/>
      <w:lvlJc w:val="left"/>
      <w:pPr>
        <w:ind w:left="980" w:hanging="360"/>
      </w:pPr>
      <w:rPr>
        <w:rFonts w:ascii="Calibri" w:eastAsia="Calibri" w:hAnsi="Calibri" w:cs="Calibri" w:hint="default"/>
        <w:spacing w:val="-1"/>
        <w:w w:val="100"/>
        <w:sz w:val="22"/>
        <w:szCs w:val="22"/>
      </w:rPr>
    </w:lvl>
    <w:lvl w:ilvl="2" w:tplc="1158D350">
      <w:start w:val="1"/>
      <w:numFmt w:val="lowerRoman"/>
      <w:lvlText w:val="(%3)"/>
      <w:lvlJc w:val="left"/>
      <w:pPr>
        <w:ind w:left="1340" w:hanging="360"/>
      </w:pPr>
      <w:rPr>
        <w:rFonts w:ascii="Calibri" w:eastAsia="Calibri" w:hAnsi="Calibri" w:cs="Calibri" w:hint="default"/>
        <w:spacing w:val="-1"/>
        <w:w w:val="100"/>
        <w:sz w:val="22"/>
        <w:szCs w:val="22"/>
      </w:rPr>
    </w:lvl>
    <w:lvl w:ilvl="3" w:tplc="1E0C1A0A">
      <w:numFmt w:val="bullet"/>
      <w:lvlText w:val="•"/>
      <w:lvlJc w:val="left"/>
      <w:pPr>
        <w:ind w:left="2405" w:hanging="360"/>
      </w:pPr>
      <w:rPr>
        <w:rFonts w:hint="default"/>
      </w:rPr>
    </w:lvl>
    <w:lvl w:ilvl="4" w:tplc="323C9DFA">
      <w:numFmt w:val="bullet"/>
      <w:lvlText w:val="•"/>
      <w:lvlJc w:val="left"/>
      <w:pPr>
        <w:ind w:left="3471" w:hanging="360"/>
      </w:pPr>
      <w:rPr>
        <w:rFonts w:hint="default"/>
      </w:rPr>
    </w:lvl>
    <w:lvl w:ilvl="5" w:tplc="10BAFF1A">
      <w:numFmt w:val="bullet"/>
      <w:lvlText w:val="•"/>
      <w:lvlJc w:val="left"/>
      <w:pPr>
        <w:ind w:left="4537" w:hanging="360"/>
      </w:pPr>
      <w:rPr>
        <w:rFonts w:hint="default"/>
      </w:rPr>
    </w:lvl>
    <w:lvl w:ilvl="6" w:tplc="22101368">
      <w:numFmt w:val="bullet"/>
      <w:lvlText w:val="•"/>
      <w:lvlJc w:val="left"/>
      <w:pPr>
        <w:ind w:left="5603" w:hanging="360"/>
      </w:pPr>
      <w:rPr>
        <w:rFonts w:hint="default"/>
      </w:rPr>
    </w:lvl>
    <w:lvl w:ilvl="7" w:tplc="D70A1718">
      <w:numFmt w:val="bullet"/>
      <w:lvlText w:val="•"/>
      <w:lvlJc w:val="left"/>
      <w:pPr>
        <w:ind w:left="6669" w:hanging="360"/>
      </w:pPr>
      <w:rPr>
        <w:rFonts w:hint="default"/>
      </w:rPr>
    </w:lvl>
    <w:lvl w:ilvl="8" w:tplc="50148D60">
      <w:numFmt w:val="bullet"/>
      <w:lvlText w:val="•"/>
      <w:lvlJc w:val="left"/>
      <w:pPr>
        <w:ind w:left="7734" w:hanging="360"/>
      </w:pPr>
      <w:rPr>
        <w:rFonts w:hint="default"/>
      </w:rPr>
    </w:lvl>
  </w:abstractNum>
  <w:abstractNum w:abstractNumId="3" w15:restartNumberingAfterBreak="0">
    <w:nsid w:val="07712340"/>
    <w:multiLevelType w:val="hybridMultilevel"/>
    <w:tmpl w:val="2B96634A"/>
    <w:lvl w:ilvl="0" w:tplc="64129562">
      <w:start w:val="1"/>
      <w:numFmt w:val="upperLetter"/>
      <w:lvlText w:val="%1."/>
      <w:lvlJc w:val="left"/>
      <w:pPr>
        <w:ind w:left="260" w:hanging="233"/>
      </w:pPr>
      <w:rPr>
        <w:rFonts w:ascii="Calibri" w:eastAsia="Calibri" w:hAnsi="Calibri" w:cs="Calibri" w:hint="default"/>
        <w:b/>
        <w:bCs/>
        <w:w w:val="100"/>
        <w:sz w:val="22"/>
        <w:szCs w:val="22"/>
      </w:rPr>
    </w:lvl>
    <w:lvl w:ilvl="1" w:tplc="806410A2">
      <w:numFmt w:val="bullet"/>
      <w:lvlText w:val="•"/>
      <w:lvlJc w:val="left"/>
      <w:pPr>
        <w:ind w:left="1220" w:hanging="233"/>
      </w:pPr>
      <w:rPr>
        <w:rFonts w:hint="default"/>
      </w:rPr>
    </w:lvl>
    <w:lvl w:ilvl="2" w:tplc="5E2AE4A8">
      <w:numFmt w:val="bullet"/>
      <w:lvlText w:val="•"/>
      <w:lvlJc w:val="left"/>
      <w:pPr>
        <w:ind w:left="2181" w:hanging="233"/>
      </w:pPr>
      <w:rPr>
        <w:rFonts w:hint="default"/>
      </w:rPr>
    </w:lvl>
    <w:lvl w:ilvl="3" w:tplc="B31E0BBE">
      <w:numFmt w:val="bullet"/>
      <w:lvlText w:val="•"/>
      <w:lvlJc w:val="left"/>
      <w:pPr>
        <w:ind w:left="3141" w:hanging="233"/>
      </w:pPr>
      <w:rPr>
        <w:rFonts w:hint="default"/>
      </w:rPr>
    </w:lvl>
    <w:lvl w:ilvl="4" w:tplc="E97826C2">
      <w:numFmt w:val="bullet"/>
      <w:lvlText w:val="•"/>
      <w:lvlJc w:val="left"/>
      <w:pPr>
        <w:ind w:left="4102" w:hanging="233"/>
      </w:pPr>
      <w:rPr>
        <w:rFonts w:hint="default"/>
      </w:rPr>
    </w:lvl>
    <w:lvl w:ilvl="5" w:tplc="522266F6">
      <w:numFmt w:val="bullet"/>
      <w:lvlText w:val="•"/>
      <w:lvlJc w:val="left"/>
      <w:pPr>
        <w:ind w:left="5063" w:hanging="233"/>
      </w:pPr>
      <w:rPr>
        <w:rFonts w:hint="default"/>
      </w:rPr>
    </w:lvl>
    <w:lvl w:ilvl="6" w:tplc="617C301A">
      <w:numFmt w:val="bullet"/>
      <w:lvlText w:val="•"/>
      <w:lvlJc w:val="left"/>
      <w:pPr>
        <w:ind w:left="6023" w:hanging="233"/>
      </w:pPr>
      <w:rPr>
        <w:rFonts w:hint="default"/>
      </w:rPr>
    </w:lvl>
    <w:lvl w:ilvl="7" w:tplc="D13C6840">
      <w:numFmt w:val="bullet"/>
      <w:lvlText w:val="•"/>
      <w:lvlJc w:val="left"/>
      <w:pPr>
        <w:ind w:left="6984" w:hanging="233"/>
      </w:pPr>
      <w:rPr>
        <w:rFonts w:hint="default"/>
      </w:rPr>
    </w:lvl>
    <w:lvl w:ilvl="8" w:tplc="D8D26FA4">
      <w:numFmt w:val="bullet"/>
      <w:lvlText w:val="•"/>
      <w:lvlJc w:val="left"/>
      <w:pPr>
        <w:ind w:left="7945" w:hanging="233"/>
      </w:pPr>
      <w:rPr>
        <w:rFonts w:hint="default"/>
      </w:rPr>
    </w:lvl>
  </w:abstractNum>
  <w:abstractNum w:abstractNumId="4" w15:restartNumberingAfterBreak="0">
    <w:nsid w:val="0A8F4CD8"/>
    <w:multiLevelType w:val="hybridMultilevel"/>
    <w:tmpl w:val="68BA26AE"/>
    <w:lvl w:ilvl="0" w:tplc="5B509AEA">
      <w:start w:val="1"/>
      <w:numFmt w:val="decimal"/>
      <w:lvlText w:val="%1."/>
      <w:lvlJc w:val="left"/>
      <w:pPr>
        <w:ind w:left="620" w:hanging="360"/>
      </w:pPr>
      <w:rPr>
        <w:rFonts w:ascii="Calibri" w:eastAsia="Calibri" w:hAnsi="Calibri" w:cs="Calibri" w:hint="default"/>
        <w:w w:val="100"/>
        <w:sz w:val="22"/>
        <w:szCs w:val="22"/>
      </w:rPr>
    </w:lvl>
    <w:lvl w:ilvl="1" w:tplc="6D20050C">
      <w:start w:val="1"/>
      <w:numFmt w:val="lowerLetter"/>
      <w:lvlText w:val="(%2)"/>
      <w:lvlJc w:val="left"/>
      <w:pPr>
        <w:ind w:left="980" w:hanging="360"/>
      </w:pPr>
      <w:rPr>
        <w:rFonts w:ascii="Calibri" w:eastAsia="Calibri" w:hAnsi="Calibri" w:cs="Calibri" w:hint="default"/>
        <w:spacing w:val="-1"/>
        <w:w w:val="100"/>
        <w:sz w:val="22"/>
        <w:szCs w:val="22"/>
      </w:rPr>
    </w:lvl>
    <w:lvl w:ilvl="2" w:tplc="F39EB60E">
      <w:start w:val="1"/>
      <w:numFmt w:val="lowerRoman"/>
      <w:lvlText w:val="(%3)"/>
      <w:lvlJc w:val="left"/>
      <w:pPr>
        <w:ind w:left="1340" w:hanging="360"/>
      </w:pPr>
      <w:rPr>
        <w:rFonts w:ascii="Calibri" w:eastAsia="Calibri" w:hAnsi="Calibri" w:cs="Calibri" w:hint="default"/>
        <w:spacing w:val="-1"/>
        <w:w w:val="100"/>
        <w:sz w:val="22"/>
        <w:szCs w:val="22"/>
      </w:rPr>
    </w:lvl>
    <w:lvl w:ilvl="3" w:tplc="B25C182C">
      <w:numFmt w:val="bullet"/>
      <w:lvlText w:val="•"/>
      <w:lvlJc w:val="left"/>
      <w:pPr>
        <w:ind w:left="2405" w:hanging="360"/>
      </w:pPr>
      <w:rPr>
        <w:rFonts w:hint="default"/>
      </w:rPr>
    </w:lvl>
    <w:lvl w:ilvl="4" w:tplc="9274D704">
      <w:numFmt w:val="bullet"/>
      <w:lvlText w:val="•"/>
      <w:lvlJc w:val="left"/>
      <w:pPr>
        <w:ind w:left="3471" w:hanging="360"/>
      </w:pPr>
      <w:rPr>
        <w:rFonts w:hint="default"/>
      </w:rPr>
    </w:lvl>
    <w:lvl w:ilvl="5" w:tplc="31862E42">
      <w:numFmt w:val="bullet"/>
      <w:lvlText w:val="•"/>
      <w:lvlJc w:val="left"/>
      <w:pPr>
        <w:ind w:left="4537" w:hanging="360"/>
      </w:pPr>
      <w:rPr>
        <w:rFonts w:hint="default"/>
      </w:rPr>
    </w:lvl>
    <w:lvl w:ilvl="6" w:tplc="032C2088">
      <w:numFmt w:val="bullet"/>
      <w:lvlText w:val="•"/>
      <w:lvlJc w:val="left"/>
      <w:pPr>
        <w:ind w:left="5603" w:hanging="360"/>
      </w:pPr>
      <w:rPr>
        <w:rFonts w:hint="default"/>
      </w:rPr>
    </w:lvl>
    <w:lvl w:ilvl="7" w:tplc="7BE0AE34">
      <w:numFmt w:val="bullet"/>
      <w:lvlText w:val="•"/>
      <w:lvlJc w:val="left"/>
      <w:pPr>
        <w:ind w:left="6669" w:hanging="360"/>
      </w:pPr>
      <w:rPr>
        <w:rFonts w:hint="default"/>
      </w:rPr>
    </w:lvl>
    <w:lvl w:ilvl="8" w:tplc="B148A578">
      <w:numFmt w:val="bullet"/>
      <w:lvlText w:val="•"/>
      <w:lvlJc w:val="left"/>
      <w:pPr>
        <w:ind w:left="7734" w:hanging="360"/>
      </w:pPr>
      <w:rPr>
        <w:rFonts w:hint="default"/>
      </w:rPr>
    </w:lvl>
  </w:abstractNum>
  <w:abstractNum w:abstractNumId="5" w15:restartNumberingAfterBreak="0">
    <w:nsid w:val="0CA001B3"/>
    <w:multiLevelType w:val="hybridMultilevel"/>
    <w:tmpl w:val="D3E80BE8"/>
    <w:lvl w:ilvl="0" w:tplc="08B2E0C8">
      <w:numFmt w:val="bullet"/>
      <w:lvlText w:val=""/>
      <w:lvlJc w:val="left"/>
      <w:pPr>
        <w:ind w:left="980" w:hanging="360"/>
      </w:pPr>
      <w:rPr>
        <w:rFonts w:ascii="Symbol" w:eastAsia="Symbol" w:hAnsi="Symbol" w:cs="Symbol" w:hint="default"/>
        <w:w w:val="100"/>
        <w:sz w:val="22"/>
        <w:szCs w:val="22"/>
      </w:rPr>
    </w:lvl>
    <w:lvl w:ilvl="1" w:tplc="183625A0">
      <w:numFmt w:val="bullet"/>
      <w:lvlText w:val="•"/>
      <w:lvlJc w:val="left"/>
      <w:pPr>
        <w:ind w:left="1868" w:hanging="360"/>
      </w:pPr>
      <w:rPr>
        <w:rFonts w:hint="default"/>
      </w:rPr>
    </w:lvl>
    <w:lvl w:ilvl="2" w:tplc="F642D6D4">
      <w:numFmt w:val="bullet"/>
      <w:lvlText w:val="•"/>
      <w:lvlJc w:val="left"/>
      <w:pPr>
        <w:ind w:left="2757" w:hanging="360"/>
      </w:pPr>
      <w:rPr>
        <w:rFonts w:hint="default"/>
      </w:rPr>
    </w:lvl>
    <w:lvl w:ilvl="3" w:tplc="FC1C662E">
      <w:numFmt w:val="bullet"/>
      <w:lvlText w:val="•"/>
      <w:lvlJc w:val="left"/>
      <w:pPr>
        <w:ind w:left="3645" w:hanging="360"/>
      </w:pPr>
      <w:rPr>
        <w:rFonts w:hint="default"/>
      </w:rPr>
    </w:lvl>
    <w:lvl w:ilvl="4" w:tplc="938287A8">
      <w:numFmt w:val="bullet"/>
      <w:lvlText w:val="•"/>
      <w:lvlJc w:val="left"/>
      <w:pPr>
        <w:ind w:left="4534" w:hanging="360"/>
      </w:pPr>
      <w:rPr>
        <w:rFonts w:hint="default"/>
      </w:rPr>
    </w:lvl>
    <w:lvl w:ilvl="5" w:tplc="B6461902">
      <w:numFmt w:val="bullet"/>
      <w:lvlText w:val="•"/>
      <w:lvlJc w:val="left"/>
      <w:pPr>
        <w:ind w:left="5423" w:hanging="360"/>
      </w:pPr>
      <w:rPr>
        <w:rFonts w:hint="default"/>
      </w:rPr>
    </w:lvl>
    <w:lvl w:ilvl="6" w:tplc="CAC6B414">
      <w:numFmt w:val="bullet"/>
      <w:lvlText w:val="•"/>
      <w:lvlJc w:val="left"/>
      <w:pPr>
        <w:ind w:left="6311" w:hanging="360"/>
      </w:pPr>
      <w:rPr>
        <w:rFonts w:hint="default"/>
      </w:rPr>
    </w:lvl>
    <w:lvl w:ilvl="7" w:tplc="EFCE4D16">
      <w:numFmt w:val="bullet"/>
      <w:lvlText w:val="•"/>
      <w:lvlJc w:val="left"/>
      <w:pPr>
        <w:ind w:left="7200" w:hanging="360"/>
      </w:pPr>
      <w:rPr>
        <w:rFonts w:hint="default"/>
      </w:rPr>
    </w:lvl>
    <w:lvl w:ilvl="8" w:tplc="C212BD30">
      <w:numFmt w:val="bullet"/>
      <w:lvlText w:val="•"/>
      <w:lvlJc w:val="left"/>
      <w:pPr>
        <w:ind w:left="8089" w:hanging="360"/>
      </w:pPr>
      <w:rPr>
        <w:rFonts w:hint="default"/>
      </w:rPr>
    </w:lvl>
  </w:abstractNum>
  <w:abstractNum w:abstractNumId="6" w15:restartNumberingAfterBreak="0">
    <w:nsid w:val="11FB75EB"/>
    <w:multiLevelType w:val="hybridMultilevel"/>
    <w:tmpl w:val="EEFA9714"/>
    <w:lvl w:ilvl="0" w:tplc="4AAC3AE2">
      <w:start w:val="1"/>
      <w:numFmt w:val="decimal"/>
      <w:lvlText w:val="%1."/>
      <w:lvlJc w:val="left"/>
      <w:pPr>
        <w:ind w:left="620" w:hanging="360"/>
      </w:pPr>
      <w:rPr>
        <w:rFonts w:ascii="Calibri" w:eastAsia="Calibri" w:hAnsi="Calibri" w:cs="Calibri" w:hint="default"/>
        <w:w w:val="100"/>
        <w:sz w:val="22"/>
        <w:szCs w:val="22"/>
      </w:rPr>
    </w:lvl>
    <w:lvl w:ilvl="1" w:tplc="6DD0581E">
      <w:numFmt w:val="bullet"/>
      <w:lvlText w:val="•"/>
      <w:lvlJc w:val="left"/>
      <w:pPr>
        <w:ind w:left="1544" w:hanging="360"/>
      </w:pPr>
      <w:rPr>
        <w:rFonts w:hint="default"/>
      </w:rPr>
    </w:lvl>
    <w:lvl w:ilvl="2" w:tplc="0FC44E1E">
      <w:numFmt w:val="bullet"/>
      <w:lvlText w:val="•"/>
      <w:lvlJc w:val="left"/>
      <w:pPr>
        <w:ind w:left="2469" w:hanging="360"/>
      </w:pPr>
      <w:rPr>
        <w:rFonts w:hint="default"/>
      </w:rPr>
    </w:lvl>
    <w:lvl w:ilvl="3" w:tplc="58729058">
      <w:numFmt w:val="bullet"/>
      <w:lvlText w:val="•"/>
      <w:lvlJc w:val="left"/>
      <w:pPr>
        <w:ind w:left="3393" w:hanging="360"/>
      </w:pPr>
      <w:rPr>
        <w:rFonts w:hint="default"/>
      </w:rPr>
    </w:lvl>
    <w:lvl w:ilvl="4" w:tplc="F6BC146C">
      <w:numFmt w:val="bullet"/>
      <w:lvlText w:val="•"/>
      <w:lvlJc w:val="left"/>
      <w:pPr>
        <w:ind w:left="4318" w:hanging="360"/>
      </w:pPr>
      <w:rPr>
        <w:rFonts w:hint="default"/>
      </w:rPr>
    </w:lvl>
    <w:lvl w:ilvl="5" w:tplc="B590F590">
      <w:numFmt w:val="bullet"/>
      <w:lvlText w:val="•"/>
      <w:lvlJc w:val="left"/>
      <w:pPr>
        <w:ind w:left="5243" w:hanging="360"/>
      </w:pPr>
      <w:rPr>
        <w:rFonts w:hint="default"/>
      </w:rPr>
    </w:lvl>
    <w:lvl w:ilvl="6" w:tplc="1B60821C">
      <w:numFmt w:val="bullet"/>
      <w:lvlText w:val="•"/>
      <w:lvlJc w:val="left"/>
      <w:pPr>
        <w:ind w:left="6167" w:hanging="360"/>
      </w:pPr>
      <w:rPr>
        <w:rFonts w:hint="default"/>
      </w:rPr>
    </w:lvl>
    <w:lvl w:ilvl="7" w:tplc="FF56213A">
      <w:numFmt w:val="bullet"/>
      <w:lvlText w:val="•"/>
      <w:lvlJc w:val="left"/>
      <w:pPr>
        <w:ind w:left="7092" w:hanging="360"/>
      </w:pPr>
      <w:rPr>
        <w:rFonts w:hint="default"/>
      </w:rPr>
    </w:lvl>
    <w:lvl w:ilvl="8" w:tplc="F09C3E20">
      <w:numFmt w:val="bullet"/>
      <w:lvlText w:val="•"/>
      <w:lvlJc w:val="left"/>
      <w:pPr>
        <w:ind w:left="8017" w:hanging="360"/>
      </w:pPr>
      <w:rPr>
        <w:rFonts w:hint="default"/>
      </w:rPr>
    </w:lvl>
  </w:abstractNum>
  <w:abstractNum w:abstractNumId="7" w15:restartNumberingAfterBreak="0">
    <w:nsid w:val="147F7582"/>
    <w:multiLevelType w:val="hybridMultilevel"/>
    <w:tmpl w:val="D2E8929C"/>
    <w:lvl w:ilvl="0" w:tplc="0409000F">
      <w:start w:val="1"/>
      <w:numFmt w:val="decimal"/>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8" w15:restartNumberingAfterBreak="0">
    <w:nsid w:val="172933FE"/>
    <w:multiLevelType w:val="hybridMultilevel"/>
    <w:tmpl w:val="9AA2B72C"/>
    <w:lvl w:ilvl="0" w:tplc="9E48B0B6">
      <w:start w:val="1"/>
      <w:numFmt w:val="decimal"/>
      <w:lvlText w:val="%1."/>
      <w:lvlJc w:val="left"/>
      <w:pPr>
        <w:ind w:left="620" w:hanging="360"/>
      </w:pPr>
      <w:rPr>
        <w:rFonts w:ascii="Calibri" w:eastAsia="Calibri" w:hAnsi="Calibri" w:cs="Calibri" w:hint="default"/>
        <w:w w:val="100"/>
        <w:sz w:val="22"/>
        <w:szCs w:val="22"/>
      </w:rPr>
    </w:lvl>
    <w:lvl w:ilvl="1" w:tplc="DC24F912">
      <w:start w:val="1"/>
      <w:numFmt w:val="lowerLetter"/>
      <w:lvlText w:val="(%2)"/>
      <w:lvlJc w:val="left"/>
      <w:pPr>
        <w:ind w:left="980" w:hanging="360"/>
      </w:pPr>
      <w:rPr>
        <w:rFonts w:ascii="Calibri" w:eastAsia="Calibri" w:hAnsi="Calibri" w:cs="Calibri" w:hint="default"/>
        <w:spacing w:val="-1"/>
        <w:w w:val="100"/>
        <w:sz w:val="22"/>
        <w:szCs w:val="22"/>
      </w:rPr>
    </w:lvl>
    <w:lvl w:ilvl="2" w:tplc="DF6E026C">
      <w:numFmt w:val="bullet"/>
      <w:lvlText w:val="•"/>
      <w:lvlJc w:val="left"/>
      <w:pPr>
        <w:ind w:left="1967" w:hanging="360"/>
      </w:pPr>
      <w:rPr>
        <w:rFonts w:hint="default"/>
      </w:rPr>
    </w:lvl>
    <w:lvl w:ilvl="3" w:tplc="655A9BFC">
      <w:numFmt w:val="bullet"/>
      <w:lvlText w:val="•"/>
      <w:lvlJc w:val="left"/>
      <w:pPr>
        <w:ind w:left="2954" w:hanging="360"/>
      </w:pPr>
      <w:rPr>
        <w:rFonts w:hint="default"/>
      </w:rPr>
    </w:lvl>
    <w:lvl w:ilvl="4" w:tplc="93BC282A">
      <w:numFmt w:val="bullet"/>
      <w:lvlText w:val="•"/>
      <w:lvlJc w:val="left"/>
      <w:pPr>
        <w:ind w:left="3942" w:hanging="360"/>
      </w:pPr>
      <w:rPr>
        <w:rFonts w:hint="default"/>
      </w:rPr>
    </w:lvl>
    <w:lvl w:ilvl="5" w:tplc="56485F92">
      <w:numFmt w:val="bullet"/>
      <w:lvlText w:val="•"/>
      <w:lvlJc w:val="left"/>
      <w:pPr>
        <w:ind w:left="4929" w:hanging="360"/>
      </w:pPr>
      <w:rPr>
        <w:rFonts w:hint="default"/>
      </w:rPr>
    </w:lvl>
    <w:lvl w:ilvl="6" w:tplc="D0E0BFFE">
      <w:numFmt w:val="bullet"/>
      <w:lvlText w:val="•"/>
      <w:lvlJc w:val="left"/>
      <w:pPr>
        <w:ind w:left="5916" w:hanging="360"/>
      </w:pPr>
      <w:rPr>
        <w:rFonts w:hint="default"/>
      </w:rPr>
    </w:lvl>
    <w:lvl w:ilvl="7" w:tplc="2AE872BE">
      <w:numFmt w:val="bullet"/>
      <w:lvlText w:val="•"/>
      <w:lvlJc w:val="left"/>
      <w:pPr>
        <w:ind w:left="6904" w:hanging="360"/>
      </w:pPr>
      <w:rPr>
        <w:rFonts w:hint="default"/>
      </w:rPr>
    </w:lvl>
    <w:lvl w:ilvl="8" w:tplc="5D389B7E">
      <w:numFmt w:val="bullet"/>
      <w:lvlText w:val="•"/>
      <w:lvlJc w:val="left"/>
      <w:pPr>
        <w:ind w:left="7891" w:hanging="360"/>
      </w:pPr>
      <w:rPr>
        <w:rFonts w:hint="default"/>
      </w:rPr>
    </w:lvl>
  </w:abstractNum>
  <w:abstractNum w:abstractNumId="9" w15:restartNumberingAfterBreak="0">
    <w:nsid w:val="179149A9"/>
    <w:multiLevelType w:val="hybridMultilevel"/>
    <w:tmpl w:val="297CE6BC"/>
    <w:lvl w:ilvl="0" w:tplc="76B47BC0">
      <w:start w:val="1"/>
      <w:numFmt w:val="decimal"/>
      <w:lvlText w:val="%1."/>
      <w:lvlJc w:val="left"/>
      <w:pPr>
        <w:ind w:left="620" w:hanging="360"/>
      </w:pPr>
      <w:rPr>
        <w:rFonts w:ascii="Calibri" w:eastAsia="Calibri" w:hAnsi="Calibri" w:cs="Calibri" w:hint="default"/>
        <w:w w:val="100"/>
        <w:sz w:val="22"/>
        <w:szCs w:val="22"/>
      </w:rPr>
    </w:lvl>
    <w:lvl w:ilvl="1" w:tplc="FB302336">
      <w:start w:val="1"/>
      <w:numFmt w:val="lowerLetter"/>
      <w:lvlText w:val="(%2)"/>
      <w:lvlJc w:val="left"/>
      <w:pPr>
        <w:ind w:left="980" w:hanging="360"/>
      </w:pPr>
      <w:rPr>
        <w:rFonts w:ascii="Calibri" w:eastAsia="Calibri" w:hAnsi="Calibri" w:cs="Calibri" w:hint="default"/>
        <w:spacing w:val="-1"/>
        <w:w w:val="100"/>
        <w:sz w:val="22"/>
        <w:szCs w:val="22"/>
      </w:rPr>
    </w:lvl>
    <w:lvl w:ilvl="2" w:tplc="379E271C">
      <w:numFmt w:val="bullet"/>
      <w:lvlText w:val="•"/>
      <w:lvlJc w:val="left"/>
      <w:pPr>
        <w:ind w:left="1967" w:hanging="360"/>
      </w:pPr>
      <w:rPr>
        <w:rFonts w:hint="default"/>
      </w:rPr>
    </w:lvl>
    <w:lvl w:ilvl="3" w:tplc="AFA61892">
      <w:numFmt w:val="bullet"/>
      <w:lvlText w:val="•"/>
      <w:lvlJc w:val="left"/>
      <w:pPr>
        <w:ind w:left="2954" w:hanging="360"/>
      </w:pPr>
      <w:rPr>
        <w:rFonts w:hint="default"/>
      </w:rPr>
    </w:lvl>
    <w:lvl w:ilvl="4" w:tplc="E5EE8788">
      <w:numFmt w:val="bullet"/>
      <w:lvlText w:val="•"/>
      <w:lvlJc w:val="left"/>
      <w:pPr>
        <w:ind w:left="3942" w:hanging="360"/>
      </w:pPr>
      <w:rPr>
        <w:rFonts w:hint="default"/>
      </w:rPr>
    </w:lvl>
    <w:lvl w:ilvl="5" w:tplc="EDBC02E6">
      <w:numFmt w:val="bullet"/>
      <w:lvlText w:val="•"/>
      <w:lvlJc w:val="left"/>
      <w:pPr>
        <w:ind w:left="4929" w:hanging="360"/>
      </w:pPr>
      <w:rPr>
        <w:rFonts w:hint="default"/>
      </w:rPr>
    </w:lvl>
    <w:lvl w:ilvl="6" w:tplc="8A9E6866">
      <w:numFmt w:val="bullet"/>
      <w:lvlText w:val="•"/>
      <w:lvlJc w:val="left"/>
      <w:pPr>
        <w:ind w:left="5916" w:hanging="360"/>
      </w:pPr>
      <w:rPr>
        <w:rFonts w:hint="default"/>
      </w:rPr>
    </w:lvl>
    <w:lvl w:ilvl="7" w:tplc="720A6818">
      <w:numFmt w:val="bullet"/>
      <w:lvlText w:val="•"/>
      <w:lvlJc w:val="left"/>
      <w:pPr>
        <w:ind w:left="6904" w:hanging="360"/>
      </w:pPr>
      <w:rPr>
        <w:rFonts w:hint="default"/>
      </w:rPr>
    </w:lvl>
    <w:lvl w:ilvl="8" w:tplc="C6844212">
      <w:numFmt w:val="bullet"/>
      <w:lvlText w:val="•"/>
      <w:lvlJc w:val="left"/>
      <w:pPr>
        <w:ind w:left="7891" w:hanging="360"/>
      </w:pPr>
      <w:rPr>
        <w:rFonts w:hint="default"/>
      </w:rPr>
    </w:lvl>
  </w:abstractNum>
  <w:abstractNum w:abstractNumId="10" w15:restartNumberingAfterBreak="0">
    <w:nsid w:val="1A601D74"/>
    <w:multiLevelType w:val="hybridMultilevel"/>
    <w:tmpl w:val="9F24D590"/>
    <w:lvl w:ilvl="0" w:tplc="951AB384">
      <w:start w:val="1"/>
      <w:numFmt w:val="decimal"/>
      <w:lvlText w:val="%1."/>
      <w:lvlJc w:val="left"/>
      <w:pPr>
        <w:ind w:left="620" w:hanging="360"/>
      </w:pPr>
      <w:rPr>
        <w:rFonts w:ascii="Calibri" w:eastAsia="Calibri" w:hAnsi="Calibri" w:cs="Calibri" w:hint="default"/>
        <w:b w:val="0"/>
        <w:bCs/>
        <w:w w:val="100"/>
        <w:sz w:val="22"/>
        <w:szCs w:val="22"/>
      </w:rPr>
    </w:lvl>
    <w:lvl w:ilvl="1" w:tplc="638E9ABA">
      <w:start w:val="1"/>
      <w:numFmt w:val="lowerLetter"/>
      <w:lvlText w:val="(%2)"/>
      <w:lvlJc w:val="left"/>
      <w:pPr>
        <w:ind w:left="980" w:hanging="360"/>
      </w:pPr>
      <w:rPr>
        <w:rFonts w:ascii="Calibri" w:eastAsia="Calibri" w:hAnsi="Calibri" w:cs="Calibri" w:hint="default"/>
        <w:spacing w:val="-1"/>
        <w:w w:val="100"/>
        <w:sz w:val="22"/>
        <w:szCs w:val="22"/>
      </w:rPr>
    </w:lvl>
    <w:lvl w:ilvl="2" w:tplc="41BA0DA2">
      <w:numFmt w:val="bullet"/>
      <w:lvlText w:val="•"/>
      <w:lvlJc w:val="left"/>
      <w:pPr>
        <w:ind w:left="1967" w:hanging="360"/>
      </w:pPr>
      <w:rPr>
        <w:rFonts w:hint="default"/>
      </w:rPr>
    </w:lvl>
    <w:lvl w:ilvl="3" w:tplc="3B5A7FFE">
      <w:numFmt w:val="bullet"/>
      <w:lvlText w:val="•"/>
      <w:lvlJc w:val="left"/>
      <w:pPr>
        <w:ind w:left="2954" w:hanging="360"/>
      </w:pPr>
      <w:rPr>
        <w:rFonts w:hint="default"/>
      </w:rPr>
    </w:lvl>
    <w:lvl w:ilvl="4" w:tplc="B2B8B704">
      <w:numFmt w:val="bullet"/>
      <w:lvlText w:val="•"/>
      <w:lvlJc w:val="left"/>
      <w:pPr>
        <w:ind w:left="3942" w:hanging="360"/>
      </w:pPr>
      <w:rPr>
        <w:rFonts w:hint="default"/>
      </w:rPr>
    </w:lvl>
    <w:lvl w:ilvl="5" w:tplc="AF3E4D36">
      <w:numFmt w:val="bullet"/>
      <w:lvlText w:val="•"/>
      <w:lvlJc w:val="left"/>
      <w:pPr>
        <w:ind w:left="4929" w:hanging="360"/>
      </w:pPr>
      <w:rPr>
        <w:rFonts w:hint="default"/>
      </w:rPr>
    </w:lvl>
    <w:lvl w:ilvl="6" w:tplc="5EDEC7BA">
      <w:numFmt w:val="bullet"/>
      <w:lvlText w:val="•"/>
      <w:lvlJc w:val="left"/>
      <w:pPr>
        <w:ind w:left="5916" w:hanging="360"/>
      </w:pPr>
      <w:rPr>
        <w:rFonts w:hint="default"/>
      </w:rPr>
    </w:lvl>
    <w:lvl w:ilvl="7" w:tplc="B1F22A46">
      <w:numFmt w:val="bullet"/>
      <w:lvlText w:val="•"/>
      <w:lvlJc w:val="left"/>
      <w:pPr>
        <w:ind w:left="6904" w:hanging="360"/>
      </w:pPr>
      <w:rPr>
        <w:rFonts w:hint="default"/>
      </w:rPr>
    </w:lvl>
    <w:lvl w:ilvl="8" w:tplc="4062450A">
      <w:numFmt w:val="bullet"/>
      <w:lvlText w:val="•"/>
      <w:lvlJc w:val="left"/>
      <w:pPr>
        <w:ind w:left="7891" w:hanging="360"/>
      </w:pPr>
      <w:rPr>
        <w:rFonts w:hint="default"/>
      </w:rPr>
    </w:lvl>
  </w:abstractNum>
  <w:abstractNum w:abstractNumId="11" w15:restartNumberingAfterBreak="0">
    <w:nsid w:val="1BAA779A"/>
    <w:multiLevelType w:val="hybridMultilevel"/>
    <w:tmpl w:val="297CE6BC"/>
    <w:lvl w:ilvl="0" w:tplc="76B47BC0">
      <w:start w:val="1"/>
      <w:numFmt w:val="decimal"/>
      <w:lvlText w:val="%1."/>
      <w:lvlJc w:val="left"/>
      <w:pPr>
        <w:ind w:left="620" w:hanging="360"/>
      </w:pPr>
      <w:rPr>
        <w:rFonts w:ascii="Calibri" w:eastAsia="Calibri" w:hAnsi="Calibri" w:cs="Calibri" w:hint="default"/>
        <w:w w:val="100"/>
        <w:sz w:val="22"/>
        <w:szCs w:val="22"/>
      </w:rPr>
    </w:lvl>
    <w:lvl w:ilvl="1" w:tplc="FB302336">
      <w:start w:val="1"/>
      <w:numFmt w:val="lowerLetter"/>
      <w:lvlText w:val="(%2)"/>
      <w:lvlJc w:val="left"/>
      <w:pPr>
        <w:ind w:left="980" w:hanging="360"/>
      </w:pPr>
      <w:rPr>
        <w:rFonts w:ascii="Calibri" w:eastAsia="Calibri" w:hAnsi="Calibri" w:cs="Calibri" w:hint="default"/>
        <w:spacing w:val="-1"/>
        <w:w w:val="100"/>
        <w:sz w:val="22"/>
        <w:szCs w:val="22"/>
      </w:rPr>
    </w:lvl>
    <w:lvl w:ilvl="2" w:tplc="379E271C">
      <w:numFmt w:val="bullet"/>
      <w:lvlText w:val="•"/>
      <w:lvlJc w:val="left"/>
      <w:pPr>
        <w:ind w:left="1967" w:hanging="360"/>
      </w:pPr>
      <w:rPr>
        <w:rFonts w:hint="default"/>
      </w:rPr>
    </w:lvl>
    <w:lvl w:ilvl="3" w:tplc="AFA61892">
      <w:numFmt w:val="bullet"/>
      <w:lvlText w:val="•"/>
      <w:lvlJc w:val="left"/>
      <w:pPr>
        <w:ind w:left="2954" w:hanging="360"/>
      </w:pPr>
      <w:rPr>
        <w:rFonts w:hint="default"/>
      </w:rPr>
    </w:lvl>
    <w:lvl w:ilvl="4" w:tplc="E5EE8788">
      <w:numFmt w:val="bullet"/>
      <w:lvlText w:val="•"/>
      <w:lvlJc w:val="left"/>
      <w:pPr>
        <w:ind w:left="3942" w:hanging="360"/>
      </w:pPr>
      <w:rPr>
        <w:rFonts w:hint="default"/>
      </w:rPr>
    </w:lvl>
    <w:lvl w:ilvl="5" w:tplc="EDBC02E6">
      <w:numFmt w:val="bullet"/>
      <w:lvlText w:val="•"/>
      <w:lvlJc w:val="left"/>
      <w:pPr>
        <w:ind w:left="4929" w:hanging="360"/>
      </w:pPr>
      <w:rPr>
        <w:rFonts w:hint="default"/>
      </w:rPr>
    </w:lvl>
    <w:lvl w:ilvl="6" w:tplc="8A9E6866">
      <w:numFmt w:val="bullet"/>
      <w:lvlText w:val="•"/>
      <w:lvlJc w:val="left"/>
      <w:pPr>
        <w:ind w:left="5916" w:hanging="360"/>
      </w:pPr>
      <w:rPr>
        <w:rFonts w:hint="default"/>
      </w:rPr>
    </w:lvl>
    <w:lvl w:ilvl="7" w:tplc="720A6818">
      <w:numFmt w:val="bullet"/>
      <w:lvlText w:val="•"/>
      <w:lvlJc w:val="left"/>
      <w:pPr>
        <w:ind w:left="6904" w:hanging="360"/>
      </w:pPr>
      <w:rPr>
        <w:rFonts w:hint="default"/>
      </w:rPr>
    </w:lvl>
    <w:lvl w:ilvl="8" w:tplc="C6844212">
      <w:numFmt w:val="bullet"/>
      <w:lvlText w:val="•"/>
      <w:lvlJc w:val="left"/>
      <w:pPr>
        <w:ind w:left="7891" w:hanging="360"/>
      </w:pPr>
      <w:rPr>
        <w:rFonts w:hint="default"/>
      </w:rPr>
    </w:lvl>
  </w:abstractNum>
  <w:abstractNum w:abstractNumId="12" w15:restartNumberingAfterBreak="0">
    <w:nsid w:val="20C71A89"/>
    <w:multiLevelType w:val="hybridMultilevel"/>
    <w:tmpl w:val="E252E820"/>
    <w:lvl w:ilvl="0" w:tplc="8FD217E0">
      <w:start w:val="1"/>
      <w:numFmt w:val="decimal"/>
      <w:lvlText w:val="%1."/>
      <w:lvlJc w:val="left"/>
      <w:pPr>
        <w:ind w:left="620" w:hanging="360"/>
      </w:pPr>
      <w:rPr>
        <w:rFonts w:ascii="Calibri" w:eastAsia="Calibri" w:hAnsi="Calibri" w:cs="Calibri" w:hint="default"/>
        <w:w w:val="100"/>
        <w:sz w:val="22"/>
        <w:szCs w:val="22"/>
      </w:rPr>
    </w:lvl>
    <w:lvl w:ilvl="1" w:tplc="6136C4C2">
      <w:numFmt w:val="bullet"/>
      <w:lvlText w:val="•"/>
      <w:lvlJc w:val="left"/>
      <w:pPr>
        <w:ind w:left="1544" w:hanging="360"/>
      </w:pPr>
      <w:rPr>
        <w:rFonts w:hint="default"/>
      </w:rPr>
    </w:lvl>
    <w:lvl w:ilvl="2" w:tplc="D7DA409A">
      <w:numFmt w:val="bullet"/>
      <w:lvlText w:val="•"/>
      <w:lvlJc w:val="left"/>
      <w:pPr>
        <w:ind w:left="2469" w:hanging="360"/>
      </w:pPr>
      <w:rPr>
        <w:rFonts w:hint="default"/>
      </w:rPr>
    </w:lvl>
    <w:lvl w:ilvl="3" w:tplc="BBC066F8">
      <w:numFmt w:val="bullet"/>
      <w:lvlText w:val="•"/>
      <w:lvlJc w:val="left"/>
      <w:pPr>
        <w:ind w:left="3393" w:hanging="360"/>
      </w:pPr>
      <w:rPr>
        <w:rFonts w:hint="default"/>
      </w:rPr>
    </w:lvl>
    <w:lvl w:ilvl="4" w:tplc="BDDC4E8E">
      <w:numFmt w:val="bullet"/>
      <w:lvlText w:val="•"/>
      <w:lvlJc w:val="left"/>
      <w:pPr>
        <w:ind w:left="4318" w:hanging="360"/>
      </w:pPr>
      <w:rPr>
        <w:rFonts w:hint="default"/>
      </w:rPr>
    </w:lvl>
    <w:lvl w:ilvl="5" w:tplc="095E953C">
      <w:numFmt w:val="bullet"/>
      <w:lvlText w:val="•"/>
      <w:lvlJc w:val="left"/>
      <w:pPr>
        <w:ind w:left="5243" w:hanging="360"/>
      </w:pPr>
      <w:rPr>
        <w:rFonts w:hint="default"/>
      </w:rPr>
    </w:lvl>
    <w:lvl w:ilvl="6" w:tplc="8B501288">
      <w:numFmt w:val="bullet"/>
      <w:lvlText w:val="•"/>
      <w:lvlJc w:val="left"/>
      <w:pPr>
        <w:ind w:left="6167" w:hanging="360"/>
      </w:pPr>
      <w:rPr>
        <w:rFonts w:hint="default"/>
      </w:rPr>
    </w:lvl>
    <w:lvl w:ilvl="7" w:tplc="2C10EC26">
      <w:numFmt w:val="bullet"/>
      <w:lvlText w:val="•"/>
      <w:lvlJc w:val="left"/>
      <w:pPr>
        <w:ind w:left="7092" w:hanging="360"/>
      </w:pPr>
      <w:rPr>
        <w:rFonts w:hint="default"/>
      </w:rPr>
    </w:lvl>
    <w:lvl w:ilvl="8" w:tplc="3588EE04">
      <w:numFmt w:val="bullet"/>
      <w:lvlText w:val="•"/>
      <w:lvlJc w:val="left"/>
      <w:pPr>
        <w:ind w:left="8017" w:hanging="360"/>
      </w:pPr>
      <w:rPr>
        <w:rFonts w:hint="default"/>
      </w:rPr>
    </w:lvl>
  </w:abstractNum>
  <w:abstractNum w:abstractNumId="13" w15:restartNumberingAfterBreak="0">
    <w:nsid w:val="222A578E"/>
    <w:multiLevelType w:val="hybridMultilevel"/>
    <w:tmpl w:val="87A2CEC2"/>
    <w:lvl w:ilvl="0" w:tplc="0F4AD994">
      <w:start w:val="1"/>
      <w:numFmt w:val="lowerLetter"/>
      <w:lvlText w:val="(%1)"/>
      <w:lvlJc w:val="left"/>
      <w:pPr>
        <w:ind w:left="830" w:hanging="360"/>
      </w:pPr>
      <w:rPr>
        <w:rFonts w:ascii="Calibri" w:eastAsia="Calibri" w:hAnsi="Calibri" w:cs="Calibri" w:hint="default"/>
        <w:spacing w:val="-1"/>
        <w:w w:val="100"/>
        <w:sz w:val="22"/>
        <w:szCs w:val="22"/>
      </w:rPr>
    </w:lvl>
    <w:lvl w:ilvl="1" w:tplc="08090019">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4" w15:restartNumberingAfterBreak="0">
    <w:nsid w:val="235226F9"/>
    <w:multiLevelType w:val="hybridMultilevel"/>
    <w:tmpl w:val="D2E8929C"/>
    <w:lvl w:ilvl="0" w:tplc="0409000F">
      <w:start w:val="1"/>
      <w:numFmt w:val="decimal"/>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15" w15:restartNumberingAfterBreak="0">
    <w:nsid w:val="25655E16"/>
    <w:multiLevelType w:val="hybridMultilevel"/>
    <w:tmpl w:val="3EC8F8A8"/>
    <w:lvl w:ilvl="0" w:tplc="2E2CAA64">
      <w:start w:val="1"/>
      <w:numFmt w:val="decimal"/>
      <w:lvlText w:val="%1."/>
      <w:lvlJc w:val="left"/>
      <w:pPr>
        <w:ind w:left="644" w:hanging="360"/>
      </w:pPr>
      <w:rPr>
        <w:rFonts w:ascii="Lucida Sans Unicode"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BDB1DF5"/>
    <w:multiLevelType w:val="hybridMultilevel"/>
    <w:tmpl w:val="C7F455F6"/>
    <w:lvl w:ilvl="0" w:tplc="15420694">
      <w:start w:val="1"/>
      <w:numFmt w:val="upperLetter"/>
      <w:lvlText w:val="%1."/>
      <w:lvlJc w:val="left"/>
      <w:pPr>
        <w:ind w:left="260" w:hanging="233"/>
      </w:pPr>
      <w:rPr>
        <w:rFonts w:ascii="Calibri" w:eastAsia="Calibri" w:hAnsi="Calibri" w:cs="Calibri" w:hint="default"/>
        <w:b/>
        <w:bCs/>
        <w:w w:val="100"/>
        <w:sz w:val="22"/>
        <w:szCs w:val="22"/>
      </w:rPr>
    </w:lvl>
    <w:lvl w:ilvl="1" w:tplc="09A66C26">
      <w:numFmt w:val="bullet"/>
      <w:lvlText w:val="•"/>
      <w:lvlJc w:val="left"/>
      <w:pPr>
        <w:ind w:left="1220" w:hanging="233"/>
      </w:pPr>
      <w:rPr>
        <w:rFonts w:hint="default"/>
      </w:rPr>
    </w:lvl>
    <w:lvl w:ilvl="2" w:tplc="77F677D0">
      <w:numFmt w:val="bullet"/>
      <w:lvlText w:val="•"/>
      <w:lvlJc w:val="left"/>
      <w:pPr>
        <w:ind w:left="2181" w:hanging="233"/>
      </w:pPr>
      <w:rPr>
        <w:rFonts w:hint="default"/>
      </w:rPr>
    </w:lvl>
    <w:lvl w:ilvl="3" w:tplc="0BD66EB6">
      <w:numFmt w:val="bullet"/>
      <w:lvlText w:val="•"/>
      <w:lvlJc w:val="left"/>
      <w:pPr>
        <w:ind w:left="3141" w:hanging="233"/>
      </w:pPr>
      <w:rPr>
        <w:rFonts w:hint="default"/>
      </w:rPr>
    </w:lvl>
    <w:lvl w:ilvl="4" w:tplc="D624DE58">
      <w:numFmt w:val="bullet"/>
      <w:lvlText w:val="•"/>
      <w:lvlJc w:val="left"/>
      <w:pPr>
        <w:ind w:left="4102" w:hanging="233"/>
      </w:pPr>
      <w:rPr>
        <w:rFonts w:hint="default"/>
      </w:rPr>
    </w:lvl>
    <w:lvl w:ilvl="5" w:tplc="767CCFCC">
      <w:numFmt w:val="bullet"/>
      <w:lvlText w:val="•"/>
      <w:lvlJc w:val="left"/>
      <w:pPr>
        <w:ind w:left="5063" w:hanging="233"/>
      </w:pPr>
      <w:rPr>
        <w:rFonts w:hint="default"/>
      </w:rPr>
    </w:lvl>
    <w:lvl w:ilvl="6" w:tplc="44F85D70">
      <w:numFmt w:val="bullet"/>
      <w:lvlText w:val="•"/>
      <w:lvlJc w:val="left"/>
      <w:pPr>
        <w:ind w:left="6023" w:hanging="233"/>
      </w:pPr>
      <w:rPr>
        <w:rFonts w:hint="default"/>
      </w:rPr>
    </w:lvl>
    <w:lvl w:ilvl="7" w:tplc="12140AFA">
      <w:numFmt w:val="bullet"/>
      <w:lvlText w:val="•"/>
      <w:lvlJc w:val="left"/>
      <w:pPr>
        <w:ind w:left="6984" w:hanging="233"/>
      </w:pPr>
      <w:rPr>
        <w:rFonts w:hint="default"/>
      </w:rPr>
    </w:lvl>
    <w:lvl w:ilvl="8" w:tplc="65BEA674">
      <w:numFmt w:val="bullet"/>
      <w:lvlText w:val="•"/>
      <w:lvlJc w:val="left"/>
      <w:pPr>
        <w:ind w:left="7945" w:hanging="233"/>
      </w:pPr>
      <w:rPr>
        <w:rFonts w:hint="default"/>
      </w:rPr>
    </w:lvl>
  </w:abstractNum>
  <w:abstractNum w:abstractNumId="17" w15:restartNumberingAfterBreak="0">
    <w:nsid w:val="328C55B6"/>
    <w:multiLevelType w:val="hybridMultilevel"/>
    <w:tmpl w:val="87A2CEC2"/>
    <w:lvl w:ilvl="0" w:tplc="0F4AD994">
      <w:start w:val="1"/>
      <w:numFmt w:val="lowerLetter"/>
      <w:lvlText w:val="(%1)"/>
      <w:lvlJc w:val="left"/>
      <w:pPr>
        <w:ind w:left="830" w:hanging="360"/>
      </w:pPr>
      <w:rPr>
        <w:rFonts w:ascii="Calibri" w:eastAsia="Calibri" w:hAnsi="Calibri" w:cs="Calibri" w:hint="default"/>
        <w:spacing w:val="-1"/>
        <w:w w:val="100"/>
        <w:sz w:val="22"/>
        <w:szCs w:val="22"/>
      </w:rPr>
    </w:lvl>
    <w:lvl w:ilvl="1" w:tplc="08090019">
      <w:start w:val="1"/>
      <w:numFmt w:val="lowerLetter"/>
      <w:lvlText w:val="%2."/>
      <w:lvlJc w:val="left"/>
      <w:pPr>
        <w:ind w:left="1550" w:hanging="360"/>
      </w:pPr>
    </w:lvl>
    <w:lvl w:ilvl="2" w:tplc="0809001B">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8" w15:restartNumberingAfterBreak="0">
    <w:nsid w:val="36E94029"/>
    <w:multiLevelType w:val="hybridMultilevel"/>
    <w:tmpl w:val="5ABEAD2A"/>
    <w:lvl w:ilvl="0" w:tplc="8E5A8888">
      <w:start w:val="1"/>
      <w:numFmt w:val="decimal"/>
      <w:lvlText w:val="%1."/>
      <w:lvlJc w:val="left"/>
      <w:pPr>
        <w:ind w:left="620" w:hanging="360"/>
      </w:pPr>
      <w:rPr>
        <w:rFonts w:ascii="Calibri" w:eastAsia="Calibri" w:hAnsi="Calibri" w:cs="Calibri" w:hint="default"/>
        <w:w w:val="100"/>
        <w:sz w:val="22"/>
        <w:szCs w:val="22"/>
      </w:rPr>
    </w:lvl>
    <w:lvl w:ilvl="1" w:tplc="3D4866E4">
      <w:start w:val="1"/>
      <w:numFmt w:val="lowerLetter"/>
      <w:lvlText w:val="(%2)"/>
      <w:lvlJc w:val="left"/>
      <w:pPr>
        <w:ind w:left="980" w:hanging="360"/>
      </w:pPr>
      <w:rPr>
        <w:rFonts w:ascii="Calibri" w:eastAsia="Calibri" w:hAnsi="Calibri" w:cs="Calibri" w:hint="default"/>
        <w:spacing w:val="-1"/>
        <w:w w:val="100"/>
        <w:sz w:val="22"/>
        <w:szCs w:val="22"/>
      </w:rPr>
    </w:lvl>
    <w:lvl w:ilvl="2" w:tplc="A148D1E0">
      <w:start w:val="1"/>
      <w:numFmt w:val="lowerRoman"/>
      <w:lvlText w:val="(%3)"/>
      <w:lvlJc w:val="left"/>
      <w:pPr>
        <w:ind w:left="1340" w:hanging="360"/>
      </w:pPr>
      <w:rPr>
        <w:rFonts w:ascii="Calibri" w:eastAsia="Calibri" w:hAnsi="Calibri" w:cs="Calibri" w:hint="default"/>
        <w:spacing w:val="-1"/>
        <w:w w:val="100"/>
        <w:sz w:val="22"/>
        <w:szCs w:val="22"/>
      </w:rPr>
    </w:lvl>
    <w:lvl w:ilvl="3" w:tplc="17C8CCC6">
      <w:numFmt w:val="bullet"/>
      <w:lvlText w:val="•"/>
      <w:lvlJc w:val="left"/>
      <w:pPr>
        <w:ind w:left="2405" w:hanging="360"/>
      </w:pPr>
      <w:rPr>
        <w:rFonts w:hint="default"/>
      </w:rPr>
    </w:lvl>
    <w:lvl w:ilvl="4" w:tplc="65E22066">
      <w:numFmt w:val="bullet"/>
      <w:lvlText w:val="•"/>
      <w:lvlJc w:val="left"/>
      <w:pPr>
        <w:ind w:left="3471" w:hanging="360"/>
      </w:pPr>
      <w:rPr>
        <w:rFonts w:hint="default"/>
      </w:rPr>
    </w:lvl>
    <w:lvl w:ilvl="5" w:tplc="6E38B9F0">
      <w:numFmt w:val="bullet"/>
      <w:lvlText w:val="•"/>
      <w:lvlJc w:val="left"/>
      <w:pPr>
        <w:ind w:left="4537" w:hanging="360"/>
      </w:pPr>
      <w:rPr>
        <w:rFonts w:hint="default"/>
      </w:rPr>
    </w:lvl>
    <w:lvl w:ilvl="6" w:tplc="D3F61DC8">
      <w:numFmt w:val="bullet"/>
      <w:lvlText w:val="•"/>
      <w:lvlJc w:val="left"/>
      <w:pPr>
        <w:ind w:left="5603" w:hanging="360"/>
      </w:pPr>
      <w:rPr>
        <w:rFonts w:hint="default"/>
      </w:rPr>
    </w:lvl>
    <w:lvl w:ilvl="7" w:tplc="F2F8A496">
      <w:numFmt w:val="bullet"/>
      <w:lvlText w:val="•"/>
      <w:lvlJc w:val="left"/>
      <w:pPr>
        <w:ind w:left="6669" w:hanging="360"/>
      </w:pPr>
      <w:rPr>
        <w:rFonts w:hint="default"/>
      </w:rPr>
    </w:lvl>
    <w:lvl w:ilvl="8" w:tplc="C2167106">
      <w:numFmt w:val="bullet"/>
      <w:lvlText w:val="•"/>
      <w:lvlJc w:val="left"/>
      <w:pPr>
        <w:ind w:left="7734" w:hanging="360"/>
      </w:pPr>
      <w:rPr>
        <w:rFonts w:hint="default"/>
      </w:rPr>
    </w:lvl>
  </w:abstractNum>
  <w:abstractNum w:abstractNumId="19" w15:restartNumberingAfterBreak="0">
    <w:nsid w:val="39291902"/>
    <w:multiLevelType w:val="hybridMultilevel"/>
    <w:tmpl w:val="0E7061D4"/>
    <w:lvl w:ilvl="0" w:tplc="91D085F8">
      <w:start w:val="1"/>
      <w:numFmt w:val="decimal"/>
      <w:lvlText w:val="%1"/>
      <w:lvlJc w:val="left"/>
      <w:pPr>
        <w:ind w:left="392" w:hanging="132"/>
      </w:pPr>
      <w:rPr>
        <w:rFonts w:hint="default"/>
        <w:w w:val="100"/>
        <w:position w:val="6"/>
      </w:rPr>
    </w:lvl>
    <w:lvl w:ilvl="1" w:tplc="1CBCA30C">
      <w:numFmt w:val="bullet"/>
      <w:lvlText w:val=""/>
      <w:lvlJc w:val="left"/>
      <w:pPr>
        <w:ind w:left="980" w:hanging="360"/>
      </w:pPr>
      <w:rPr>
        <w:rFonts w:ascii="Symbol" w:eastAsia="Symbol" w:hAnsi="Symbol" w:cs="Symbol" w:hint="default"/>
        <w:w w:val="100"/>
        <w:sz w:val="22"/>
        <w:szCs w:val="22"/>
      </w:rPr>
    </w:lvl>
    <w:lvl w:ilvl="2" w:tplc="9558E636">
      <w:numFmt w:val="bullet"/>
      <w:lvlText w:val="•"/>
      <w:lvlJc w:val="left"/>
      <w:pPr>
        <w:ind w:left="1967" w:hanging="360"/>
      </w:pPr>
      <w:rPr>
        <w:rFonts w:hint="default"/>
      </w:rPr>
    </w:lvl>
    <w:lvl w:ilvl="3" w:tplc="35380F80">
      <w:numFmt w:val="bullet"/>
      <w:lvlText w:val="•"/>
      <w:lvlJc w:val="left"/>
      <w:pPr>
        <w:ind w:left="2954" w:hanging="360"/>
      </w:pPr>
      <w:rPr>
        <w:rFonts w:hint="default"/>
      </w:rPr>
    </w:lvl>
    <w:lvl w:ilvl="4" w:tplc="EFB8233A">
      <w:numFmt w:val="bullet"/>
      <w:lvlText w:val="•"/>
      <w:lvlJc w:val="left"/>
      <w:pPr>
        <w:ind w:left="3942" w:hanging="360"/>
      </w:pPr>
      <w:rPr>
        <w:rFonts w:hint="default"/>
      </w:rPr>
    </w:lvl>
    <w:lvl w:ilvl="5" w:tplc="EE7EEB90">
      <w:numFmt w:val="bullet"/>
      <w:lvlText w:val="•"/>
      <w:lvlJc w:val="left"/>
      <w:pPr>
        <w:ind w:left="4929" w:hanging="360"/>
      </w:pPr>
      <w:rPr>
        <w:rFonts w:hint="default"/>
      </w:rPr>
    </w:lvl>
    <w:lvl w:ilvl="6" w:tplc="B34C00A0">
      <w:numFmt w:val="bullet"/>
      <w:lvlText w:val="•"/>
      <w:lvlJc w:val="left"/>
      <w:pPr>
        <w:ind w:left="5916" w:hanging="360"/>
      </w:pPr>
      <w:rPr>
        <w:rFonts w:hint="default"/>
      </w:rPr>
    </w:lvl>
    <w:lvl w:ilvl="7" w:tplc="4C2A3F1A">
      <w:numFmt w:val="bullet"/>
      <w:lvlText w:val="•"/>
      <w:lvlJc w:val="left"/>
      <w:pPr>
        <w:ind w:left="6904" w:hanging="360"/>
      </w:pPr>
      <w:rPr>
        <w:rFonts w:hint="default"/>
      </w:rPr>
    </w:lvl>
    <w:lvl w:ilvl="8" w:tplc="3D6A8908">
      <w:numFmt w:val="bullet"/>
      <w:lvlText w:val="•"/>
      <w:lvlJc w:val="left"/>
      <w:pPr>
        <w:ind w:left="7891" w:hanging="360"/>
      </w:pPr>
      <w:rPr>
        <w:rFonts w:hint="default"/>
      </w:rPr>
    </w:lvl>
  </w:abstractNum>
  <w:abstractNum w:abstractNumId="20" w15:restartNumberingAfterBreak="0">
    <w:nsid w:val="3B1E398C"/>
    <w:multiLevelType w:val="multilevel"/>
    <w:tmpl w:val="FF4235C2"/>
    <w:lvl w:ilvl="0">
      <w:start w:val="5"/>
      <w:numFmt w:val="decimal"/>
      <w:lvlText w:val="%1"/>
      <w:lvlJc w:val="left"/>
      <w:pPr>
        <w:ind w:left="836" w:hanging="576"/>
      </w:pPr>
      <w:rPr>
        <w:rFonts w:hint="default"/>
      </w:rPr>
    </w:lvl>
    <w:lvl w:ilvl="1">
      <w:start w:val="1"/>
      <w:numFmt w:val="decimal"/>
      <w:lvlText w:val="%1.%2"/>
      <w:lvlJc w:val="left"/>
      <w:pPr>
        <w:ind w:left="836" w:hanging="576"/>
      </w:pPr>
      <w:rPr>
        <w:rFonts w:ascii="Lucida Sans Unicode" w:eastAsia="Lucida Sans Unicode" w:hAnsi="Lucida Sans Unicode" w:cs="Lucida Sans Unicode" w:hint="default"/>
        <w:b/>
        <w:bCs/>
        <w:color w:val="B89207"/>
        <w:spacing w:val="-1"/>
        <w:w w:val="100"/>
        <w:sz w:val="22"/>
        <w:szCs w:val="22"/>
      </w:rPr>
    </w:lvl>
    <w:lvl w:ilvl="2">
      <w:numFmt w:val="bullet"/>
      <w:lvlText w:val=""/>
      <w:lvlJc w:val="left"/>
      <w:pPr>
        <w:ind w:left="980" w:hanging="360"/>
      </w:pPr>
      <w:rPr>
        <w:rFonts w:ascii="Symbol" w:eastAsia="Symbol" w:hAnsi="Symbol" w:cs="Symbol" w:hint="default"/>
        <w:w w:val="100"/>
        <w:sz w:val="22"/>
        <w:szCs w:val="22"/>
      </w:rPr>
    </w:lvl>
    <w:lvl w:ilvl="3">
      <w:numFmt w:val="bullet"/>
      <w:lvlText w:val="•"/>
      <w:lvlJc w:val="left"/>
      <w:pPr>
        <w:ind w:left="2954" w:hanging="360"/>
      </w:pPr>
      <w:rPr>
        <w:rFonts w:hint="default"/>
      </w:rPr>
    </w:lvl>
    <w:lvl w:ilvl="4">
      <w:numFmt w:val="bullet"/>
      <w:lvlText w:val="•"/>
      <w:lvlJc w:val="left"/>
      <w:pPr>
        <w:ind w:left="3942" w:hanging="360"/>
      </w:pPr>
      <w:rPr>
        <w:rFonts w:hint="default"/>
      </w:rPr>
    </w:lvl>
    <w:lvl w:ilvl="5">
      <w:numFmt w:val="bullet"/>
      <w:lvlText w:val="•"/>
      <w:lvlJc w:val="left"/>
      <w:pPr>
        <w:ind w:left="4929" w:hanging="360"/>
      </w:pPr>
      <w:rPr>
        <w:rFonts w:hint="default"/>
      </w:rPr>
    </w:lvl>
    <w:lvl w:ilvl="6">
      <w:numFmt w:val="bullet"/>
      <w:lvlText w:val="•"/>
      <w:lvlJc w:val="left"/>
      <w:pPr>
        <w:ind w:left="5916" w:hanging="360"/>
      </w:pPr>
      <w:rPr>
        <w:rFonts w:hint="default"/>
      </w:rPr>
    </w:lvl>
    <w:lvl w:ilvl="7">
      <w:numFmt w:val="bullet"/>
      <w:lvlText w:val="•"/>
      <w:lvlJc w:val="left"/>
      <w:pPr>
        <w:ind w:left="6904" w:hanging="360"/>
      </w:pPr>
      <w:rPr>
        <w:rFonts w:hint="default"/>
      </w:rPr>
    </w:lvl>
    <w:lvl w:ilvl="8">
      <w:numFmt w:val="bullet"/>
      <w:lvlText w:val="•"/>
      <w:lvlJc w:val="left"/>
      <w:pPr>
        <w:ind w:left="7891" w:hanging="360"/>
      </w:pPr>
      <w:rPr>
        <w:rFonts w:hint="default"/>
      </w:rPr>
    </w:lvl>
  </w:abstractNum>
  <w:abstractNum w:abstractNumId="21" w15:restartNumberingAfterBreak="0">
    <w:nsid w:val="409B46BC"/>
    <w:multiLevelType w:val="hybridMultilevel"/>
    <w:tmpl w:val="26260CF4"/>
    <w:lvl w:ilvl="0" w:tplc="891C84CA">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62027508">
      <w:start w:val="1"/>
      <w:numFmt w:val="decimal"/>
      <w:lvlText w:val="%3."/>
      <w:lvlJc w:val="left"/>
      <w:pPr>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13F4F17"/>
    <w:multiLevelType w:val="hybridMultilevel"/>
    <w:tmpl w:val="D67AA704"/>
    <w:lvl w:ilvl="0" w:tplc="B8064104">
      <w:start w:val="1"/>
      <w:numFmt w:val="upperLetter"/>
      <w:lvlText w:val="%1."/>
      <w:lvlJc w:val="left"/>
      <w:pPr>
        <w:ind w:left="260" w:hanging="243"/>
      </w:pPr>
      <w:rPr>
        <w:rFonts w:hint="default"/>
        <w:b/>
        <w:bCs/>
        <w:w w:val="100"/>
      </w:rPr>
    </w:lvl>
    <w:lvl w:ilvl="1" w:tplc="93549E36">
      <w:numFmt w:val="bullet"/>
      <w:lvlText w:val="•"/>
      <w:lvlJc w:val="left"/>
      <w:pPr>
        <w:ind w:left="1220" w:hanging="243"/>
      </w:pPr>
      <w:rPr>
        <w:rFonts w:hint="default"/>
      </w:rPr>
    </w:lvl>
    <w:lvl w:ilvl="2" w:tplc="2E7A5A7E">
      <w:numFmt w:val="bullet"/>
      <w:lvlText w:val="•"/>
      <w:lvlJc w:val="left"/>
      <w:pPr>
        <w:ind w:left="2181" w:hanging="243"/>
      </w:pPr>
      <w:rPr>
        <w:rFonts w:hint="default"/>
      </w:rPr>
    </w:lvl>
    <w:lvl w:ilvl="3" w:tplc="EBC8D6A0">
      <w:numFmt w:val="bullet"/>
      <w:lvlText w:val="•"/>
      <w:lvlJc w:val="left"/>
      <w:pPr>
        <w:ind w:left="3141" w:hanging="243"/>
      </w:pPr>
      <w:rPr>
        <w:rFonts w:hint="default"/>
      </w:rPr>
    </w:lvl>
    <w:lvl w:ilvl="4" w:tplc="46C0AE06">
      <w:numFmt w:val="bullet"/>
      <w:lvlText w:val="•"/>
      <w:lvlJc w:val="left"/>
      <w:pPr>
        <w:ind w:left="4102" w:hanging="243"/>
      </w:pPr>
      <w:rPr>
        <w:rFonts w:hint="default"/>
      </w:rPr>
    </w:lvl>
    <w:lvl w:ilvl="5" w:tplc="B80C3D4C">
      <w:numFmt w:val="bullet"/>
      <w:lvlText w:val="•"/>
      <w:lvlJc w:val="left"/>
      <w:pPr>
        <w:ind w:left="5063" w:hanging="243"/>
      </w:pPr>
      <w:rPr>
        <w:rFonts w:hint="default"/>
      </w:rPr>
    </w:lvl>
    <w:lvl w:ilvl="6" w:tplc="1EBA3360">
      <w:numFmt w:val="bullet"/>
      <w:lvlText w:val="•"/>
      <w:lvlJc w:val="left"/>
      <w:pPr>
        <w:ind w:left="6023" w:hanging="243"/>
      </w:pPr>
      <w:rPr>
        <w:rFonts w:hint="default"/>
      </w:rPr>
    </w:lvl>
    <w:lvl w:ilvl="7" w:tplc="69C40F2C">
      <w:numFmt w:val="bullet"/>
      <w:lvlText w:val="•"/>
      <w:lvlJc w:val="left"/>
      <w:pPr>
        <w:ind w:left="6984" w:hanging="243"/>
      </w:pPr>
      <w:rPr>
        <w:rFonts w:hint="default"/>
      </w:rPr>
    </w:lvl>
    <w:lvl w:ilvl="8" w:tplc="7EAE5B44">
      <w:numFmt w:val="bullet"/>
      <w:lvlText w:val="•"/>
      <w:lvlJc w:val="left"/>
      <w:pPr>
        <w:ind w:left="7945" w:hanging="243"/>
      </w:pPr>
      <w:rPr>
        <w:rFonts w:hint="default"/>
      </w:rPr>
    </w:lvl>
  </w:abstractNum>
  <w:abstractNum w:abstractNumId="23" w15:restartNumberingAfterBreak="0">
    <w:nsid w:val="42CA7DC7"/>
    <w:multiLevelType w:val="multilevel"/>
    <w:tmpl w:val="0409001F"/>
    <w:lvl w:ilvl="0">
      <w:start w:val="1"/>
      <w:numFmt w:val="decimal"/>
      <w:lvlText w:val="%1."/>
      <w:lvlJc w:val="left"/>
      <w:pPr>
        <w:ind w:left="360" w:hanging="360"/>
      </w:pPr>
      <w:rPr>
        <w:rFonts w:hint="default"/>
        <w:color w:val="B89207"/>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426FF2"/>
    <w:multiLevelType w:val="hybridMultilevel"/>
    <w:tmpl w:val="C0B6BBE0"/>
    <w:lvl w:ilvl="0" w:tplc="1BD2A914">
      <w:start w:val="1"/>
      <w:numFmt w:val="decimal"/>
      <w:lvlText w:val="%1."/>
      <w:lvlJc w:val="left"/>
      <w:pPr>
        <w:ind w:left="620" w:hanging="360"/>
      </w:pPr>
      <w:rPr>
        <w:rFonts w:ascii="Calibri" w:eastAsia="Calibri" w:hAnsi="Calibri" w:cs="Calibri" w:hint="default"/>
        <w:w w:val="100"/>
        <w:sz w:val="22"/>
        <w:szCs w:val="22"/>
      </w:rPr>
    </w:lvl>
    <w:lvl w:ilvl="1" w:tplc="18782406">
      <w:start w:val="1"/>
      <w:numFmt w:val="lowerLetter"/>
      <w:lvlText w:val="(%2)"/>
      <w:lvlJc w:val="left"/>
      <w:pPr>
        <w:ind w:left="980" w:hanging="360"/>
      </w:pPr>
      <w:rPr>
        <w:rFonts w:ascii="Calibri" w:eastAsia="Calibri" w:hAnsi="Calibri" w:cs="Calibri" w:hint="default"/>
        <w:spacing w:val="-1"/>
        <w:w w:val="100"/>
        <w:sz w:val="22"/>
        <w:szCs w:val="22"/>
      </w:rPr>
    </w:lvl>
    <w:lvl w:ilvl="2" w:tplc="4DD69A5C">
      <w:start w:val="1"/>
      <w:numFmt w:val="lowerRoman"/>
      <w:lvlText w:val="(%3)"/>
      <w:lvlJc w:val="left"/>
      <w:pPr>
        <w:ind w:left="1340" w:hanging="360"/>
      </w:pPr>
      <w:rPr>
        <w:rFonts w:ascii="Calibri" w:eastAsia="Calibri" w:hAnsi="Calibri" w:cs="Calibri" w:hint="default"/>
        <w:spacing w:val="-1"/>
        <w:w w:val="100"/>
        <w:sz w:val="22"/>
        <w:szCs w:val="22"/>
      </w:rPr>
    </w:lvl>
    <w:lvl w:ilvl="3" w:tplc="5402625A">
      <w:start w:val="1"/>
      <w:numFmt w:val="lowerRoman"/>
      <w:lvlText w:val="%4."/>
      <w:lvlJc w:val="left"/>
      <w:pPr>
        <w:ind w:left="1700" w:hanging="466"/>
        <w:jc w:val="right"/>
      </w:pPr>
      <w:rPr>
        <w:rFonts w:ascii="Calibri" w:eastAsia="Calibri" w:hAnsi="Calibri" w:cs="Calibri" w:hint="default"/>
        <w:spacing w:val="-1"/>
        <w:w w:val="100"/>
        <w:sz w:val="22"/>
        <w:szCs w:val="22"/>
      </w:rPr>
    </w:lvl>
    <w:lvl w:ilvl="4" w:tplc="759C4A60">
      <w:numFmt w:val="bullet"/>
      <w:lvlText w:val="•"/>
      <w:lvlJc w:val="left"/>
      <w:pPr>
        <w:ind w:left="2866" w:hanging="466"/>
      </w:pPr>
      <w:rPr>
        <w:rFonts w:hint="default"/>
      </w:rPr>
    </w:lvl>
    <w:lvl w:ilvl="5" w:tplc="A154A7DA">
      <w:numFmt w:val="bullet"/>
      <w:lvlText w:val="•"/>
      <w:lvlJc w:val="left"/>
      <w:pPr>
        <w:ind w:left="4033" w:hanging="466"/>
      </w:pPr>
      <w:rPr>
        <w:rFonts w:hint="default"/>
      </w:rPr>
    </w:lvl>
    <w:lvl w:ilvl="6" w:tplc="D5B40406">
      <w:numFmt w:val="bullet"/>
      <w:lvlText w:val="•"/>
      <w:lvlJc w:val="left"/>
      <w:pPr>
        <w:ind w:left="5199" w:hanging="466"/>
      </w:pPr>
      <w:rPr>
        <w:rFonts w:hint="default"/>
      </w:rPr>
    </w:lvl>
    <w:lvl w:ilvl="7" w:tplc="C4F8137A">
      <w:numFmt w:val="bullet"/>
      <w:lvlText w:val="•"/>
      <w:lvlJc w:val="left"/>
      <w:pPr>
        <w:ind w:left="6366" w:hanging="466"/>
      </w:pPr>
      <w:rPr>
        <w:rFonts w:hint="default"/>
      </w:rPr>
    </w:lvl>
    <w:lvl w:ilvl="8" w:tplc="831EBE9A">
      <w:numFmt w:val="bullet"/>
      <w:lvlText w:val="•"/>
      <w:lvlJc w:val="left"/>
      <w:pPr>
        <w:ind w:left="7533" w:hanging="466"/>
      </w:pPr>
      <w:rPr>
        <w:rFonts w:hint="default"/>
      </w:rPr>
    </w:lvl>
  </w:abstractNum>
  <w:abstractNum w:abstractNumId="25" w15:restartNumberingAfterBreak="0">
    <w:nsid w:val="4B036A21"/>
    <w:multiLevelType w:val="hybridMultilevel"/>
    <w:tmpl w:val="6122D20E"/>
    <w:lvl w:ilvl="0" w:tplc="214EF52A">
      <w:start w:val="1"/>
      <w:numFmt w:val="upperLetter"/>
      <w:lvlText w:val="%1."/>
      <w:lvlJc w:val="left"/>
      <w:pPr>
        <w:ind w:left="260" w:hanging="233"/>
      </w:pPr>
      <w:rPr>
        <w:rFonts w:ascii="Calibri" w:eastAsia="Calibri" w:hAnsi="Calibri" w:cs="Calibri" w:hint="default"/>
        <w:b/>
        <w:bCs/>
        <w:w w:val="100"/>
        <w:sz w:val="22"/>
        <w:szCs w:val="22"/>
      </w:rPr>
    </w:lvl>
    <w:lvl w:ilvl="1" w:tplc="B35A03EE">
      <w:start w:val="1"/>
      <w:numFmt w:val="lowerLetter"/>
      <w:lvlText w:val="(%2)"/>
      <w:lvlJc w:val="left"/>
      <w:pPr>
        <w:ind w:left="980" w:hanging="360"/>
      </w:pPr>
      <w:rPr>
        <w:rFonts w:ascii="Calibri" w:eastAsia="Calibri" w:hAnsi="Calibri" w:cs="Calibri" w:hint="default"/>
        <w:spacing w:val="-1"/>
        <w:w w:val="100"/>
        <w:sz w:val="22"/>
        <w:szCs w:val="22"/>
      </w:rPr>
    </w:lvl>
    <w:lvl w:ilvl="2" w:tplc="0CA0993A">
      <w:numFmt w:val="bullet"/>
      <w:lvlText w:val="•"/>
      <w:lvlJc w:val="left"/>
      <w:pPr>
        <w:ind w:left="1967" w:hanging="360"/>
      </w:pPr>
      <w:rPr>
        <w:rFonts w:hint="default"/>
      </w:rPr>
    </w:lvl>
    <w:lvl w:ilvl="3" w:tplc="AEF45CF2">
      <w:numFmt w:val="bullet"/>
      <w:lvlText w:val="•"/>
      <w:lvlJc w:val="left"/>
      <w:pPr>
        <w:ind w:left="2954" w:hanging="360"/>
      </w:pPr>
      <w:rPr>
        <w:rFonts w:hint="default"/>
      </w:rPr>
    </w:lvl>
    <w:lvl w:ilvl="4" w:tplc="3BE8AE60">
      <w:numFmt w:val="bullet"/>
      <w:lvlText w:val="•"/>
      <w:lvlJc w:val="left"/>
      <w:pPr>
        <w:ind w:left="3942" w:hanging="360"/>
      </w:pPr>
      <w:rPr>
        <w:rFonts w:hint="default"/>
      </w:rPr>
    </w:lvl>
    <w:lvl w:ilvl="5" w:tplc="0614AED2">
      <w:numFmt w:val="bullet"/>
      <w:lvlText w:val="•"/>
      <w:lvlJc w:val="left"/>
      <w:pPr>
        <w:ind w:left="4929" w:hanging="360"/>
      </w:pPr>
      <w:rPr>
        <w:rFonts w:hint="default"/>
      </w:rPr>
    </w:lvl>
    <w:lvl w:ilvl="6" w:tplc="5532E4DA">
      <w:numFmt w:val="bullet"/>
      <w:lvlText w:val="•"/>
      <w:lvlJc w:val="left"/>
      <w:pPr>
        <w:ind w:left="5916" w:hanging="360"/>
      </w:pPr>
      <w:rPr>
        <w:rFonts w:hint="default"/>
      </w:rPr>
    </w:lvl>
    <w:lvl w:ilvl="7" w:tplc="033EA2C2">
      <w:numFmt w:val="bullet"/>
      <w:lvlText w:val="•"/>
      <w:lvlJc w:val="left"/>
      <w:pPr>
        <w:ind w:left="6904" w:hanging="360"/>
      </w:pPr>
      <w:rPr>
        <w:rFonts w:hint="default"/>
      </w:rPr>
    </w:lvl>
    <w:lvl w:ilvl="8" w:tplc="5AC844E2">
      <w:numFmt w:val="bullet"/>
      <w:lvlText w:val="•"/>
      <w:lvlJc w:val="left"/>
      <w:pPr>
        <w:ind w:left="7891" w:hanging="360"/>
      </w:pPr>
      <w:rPr>
        <w:rFonts w:hint="default"/>
      </w:rPr>
    </w:lvl>
  </w:abstractNum>
  <w:abstractNum w:abstractNumId="26" w15:restartNumberingAfterBreak="0">
    <w:nsid w:val="4CA2360B"/>
    <w:multiLevelType w:val="hybridMultilevel"/>
    <w:tmpl w:val="E252E820"/>
    <w:lvl w:ilvl="0" w:tplc="8FD217E0">
      <w:start w:val="1"/>
      <w:numFmt w:val="decimal"/>
      <w:lvlText w:val="%1."/>
      <w:lvlJc w:val="left"/>
      <w:pPr>
        <w:ind w:left="620" w:hanging="360"/>
      </w:pPr>
      <w:rPr>
        <w:rFonts w:ascii="Calibri" w:eastAsia="Calibri" w:hAnsi="Calibri" w:cs="Calibri" w:hint="default"/>
        <w:w w:val="100"/>
        <w:sz w:val="22"/>
        <w:szCs w:val="22"/>
      </w:rPr>
    </w:lvl>
    <w:lvl w:ilvl="1" w:tplc="6136C4C2">
      <w:numFmt w:val="bullet"/>
      <w:lvlText w:val="•"/>
      <w:lvlJc w:val="left"/>
      <w:pPr>
        <w:ind w:left="1544" w:hanging="360"/>
      </w:pPr>
      <w:rPr>
        <w:rFonts w:hint="default"/>
      </w:rPr>
    </w:lvl>
    <w:lvl w:ilvl="2" w:tplc="D7DA409A">
      <w:numFmt w:val="bullet"/>
      <w:lvlText w:val="•"/>
      <w:lvlJc w:val="left"/>
      <w:pPr>
        <w:ind w:left="2469" w:hanging="360"/>
      </w:pPr>
      <w:rPr>
        <w:rFonts w:hint="default"/>
      </w:rPr>
    </w:lvl>
    <w:lvl w:ilvl="3" w:tplc="BBC066F8">
      <w:numFmt w:val="bullet"/>
      <w:lvlText w:val="•"/>
      <w:lvlJc w:val="left"/>
      <w:pPr>
        <w:ind w:left="3393" w:hanging="360"/>
      </w:pPr>
      <w:rPr>
        <w:rFonts w:hint="default"/>
      </w:rPr>
    </w:lvl>
    <w:lvl w:ilvl="4" w:tplc="BDDC4E8E">
      <w:numFmt w:val="bullet"/>
      <w:lvlText w:val="•"/>
      <w:lvlJc w:val="left"/>
      <w:pPr>
        <w:ind w:left="4318" w:hanging="360"/>
      </w:pPr>
      <w:rPr>
        <w:rFonts w:hint="default"/>
      </w:rPr>
    </w:lvl>
    <w:lvl w:ilvl="5" w:tplc="095E953C">
      <w:numFmt w:val="bullet"/>
      <w:lvlText w:val="•"/>
      <w:lvlJc w:val="left"/>
      <w:pPr>
        <w:ind w:left="5243" w:hanging="360"/>
      </w:pPr>
      <w:rPr>
        <w:rFonts w:hint="default"/>
      </w:rPr>
    </w:lvl>
    <w:lvl w:ilvl="6" w:tplc="8B501288">
      <w:numFmt w:val="bullet"/>
      <w:lvlText w:val="•"/>
      <w:lvlJc w:val="left"/>
      <w:pPr>
        <w:ind w:left="6167" w:hanging="360"/>
      </w:pPr>
      <w:rPr>
        <w:rFonts w:hint="default"/>
      </w:rPr>
    </w:lvl>
    <w:lvl w:ilvl="7" w:tplc="2C10EC26">
      <w:numFmt w:val="bullet"/>
      <w:lvlText w:val="•"/>
      <w:lvlJc w:val="left"/>
      <w:pPr>
        <w:ind w:left="7092" w:hanging="360"/>
      </w:pPr>
      <w:rPr>
        <w:rFonts w:hint="default"/>
      </w:rPr>
    </w:lvl>
    <w:lvl w:ilvl="8" w:tplc="3588EE04">
      <w:numFmt w:val="bullet"/>
      <w:lvlText w:val="•"/>
      <w:lvlJc w:val="left"/>
      <w:pPr>
        <w:ind w:left="8017" w:hanging="360"/>
      </w:pPr>
      <w:rPr>
        <w:rFonts w:hint="default"/>
      </w:rPr>
    </w:lvl>
  </w:abstractNum>
  <w:abstractNum w:abstractNumId="27" w15:restartNumberingAfterBreak="0">
    <w:nsid w:val="532737C6"/>
    <w:multiLevelType w:val="hybridMultilevel"/>
    <w:tmpl w:val="CB147B30"/>
    <w:lvl w:ilvl="0" w:tplc="44280BF6">
      <w:start w:val="1"/>
      <w:numFmt w:val="upperLetter"/>
      <w:lvlText w:val="%1."/>
      <w:lvlJc w:val="left"/>
      <w:pPr>
        <w:ind w:left="260" w:hanging="245"/>
      </w:pPr>
      <w:rPr>
        <w:rFonts w:ascii="Calibri" w:eastAsia="Calibri" w:hAnsi="Calibri" w:cs="Calibri" w:hint="default"/>
        <w:b/>
        <w:bCs/>
        <w:w w:val="100"/>
        <w:sz w:val="22"/>
        <w:szCs w:val="22"/>
      </w:rPr>
    </w:lvl>
    <w:lvl w:ilvl="1" w:tplc="243A18E6">
      <w:numFmt w:val="bullet"/>
      <w:lvlText w:val="•"/>
      <w:lvlJc w:val="left"/>
      <w:pPr>
        <w:ind w:left="1220" w:hanging="245"/>
      </w:pPr>
      <w:rPr>
        <w:rFonts w:hint="default"/>
      </w:rPr>
    </w:lvl>
    <w:lvl w:ilvl="2" w:tplc="B2E224E0">
      <w:numFmt w:val="bullet"/>
      <w:lvlText w:val="•"/>
      <w:lvlJc w:val="left"/>
      <w:pPr>
        <w:ind w:left="2181" w:hanging="245"/>
      </w:pPr>
      <w:rPr>
        <w:rFonts w:hint="default"/>
      </w:rPr>
    </w:lvl>
    <w:lvl w:ilvl="3" w:tplc="1BE0D0AC">
      <w:numFmt w:val="bullet"/>
      <w:lvlText w:val="•"/>
      <w:lvlJc w:val="left"/>
      <w:pPr>
        <w:ind w:left="3141" w:hanging="245"/>
      </w:pPr>
      <w:rPr>
        <w:rFonts w:hint="default"/>
      </w:rPr>
    </w:lvl>
    <w:lvl w:ilvl="4" w:tplc="0D082E3A">
      <w:numFmt w:val="bullet"/>
      <w:lvlText w:val="•"/>
      <w:lvlJc w:val="left"/>
      <w:pPr>
        <w:ind w:left="4102" w:hanging="245"/>
      </w:pPr>
      <w:rPr>
        <w:rFonts w:hint="default"/>
      </w:rPr>
    </w:lvl>
    <w:lvl w:ilvl="5" w:tplc="D6A03A12">
      <w:numFmt w:val="bullet"/>
      <w:lvlText w:val="•"/>
      <w:lvlJc w:val="left"/>
      <w:pPr>
        <w:ind w:left="5063" w:hanging="245"/>
      </w:pPr>
      <w:rPr>
        <w:rFonts w:hint="default"/>
      </w:rPr>
    </w:lvl>
    <w:lvl w:ilvl="6" w:tplc="55B681C8">
      <w:numFmt w:val="bullet"/>
      <w:lvlText w:val="•"/>
      <w:lvlJc w:val="left"/>
      <w:pPr>
        <w:ind w:left="6023" w:hanging="245"/>
      </w:pPr>
      <w:rPr>
        <w:rFonts w:hint="default"/>
      </w:rPr>
    </w:lvl>
    <w:lvl w:ilvl="7" w:tplc="4DF4136A">
      <w:numFmt w:val="bullet"/>
      <w:lvlText w:val="•"/>
      <w:lvlJc w:val="left"/>
      <w:pPr>
        <w:ind w:left="6984" w:hanging="245"/>
      </w:pPr>
      <w:rPr>
        <w:rFonts w:hint="default"/>
      </w:rPr>
    </w:lvl>
    <w:lvl w:ilvl="8" w:tplc="08FE4A86">
      <w:numFmt w:val="bullet"/>
      <w:lvlText w:val="•"/>
      <w:lvlJc w:val="left"/>
      <w:pPr>
        <w:ind w:left="7945" w:hanging="245"/>
      </w:pPr>
      <w:rPr>
        <w:rFonts w:hint="default"/>
      </w:rPr>
    </w:lvl>
  </w:abstractNum>
  <w:abstractNum w:abstractNumId="28" w15:restartNumberingAfterBreak="0">
    <w:nsid w:val="5559058E"/>
    <w:multiLevelType w:val="hybridMultilevel"/>
    <w:tmpl w:val="B42812F8"/>
    <w:lvl w:ilvl="0" w:tplc="FAC05E0E">
      <w:start w:val="1"/>
      <w:numFmt w:val="decimal"/>
      <w:lvlText w:val="%1."/>
      <w:lvlJc w:val="left"/>
      <w:pPr>
        <w:ind w:left="260" w:hanging="219"/>
      </w:pPr>
      <w:rPr>
        <w:rFonts w:ascii="Calibri" w:eastAsia="Calibri" w:hAnsi="Calibri" w:cs="Calibri" w:hint="default"/>
        <w:w w:val="100"/>
        <w:sz w:val="22"/>
        <w:szCs w:val="22"/>
      </w:rPr>
    </w:lvl>
    <w:lvl w:ilvl="1" w:tplc="A3F8DB68">
      <w:numFmt w:val="bullet"/>
      <w:lvlText w:val="•"/>
      <w:lvlJc w:val="left"/>
      <w:pPr>
        <w:ind w:left="1220" w:hanging="219"/>
      </w:pPr>
      <w:rPr>
        <w:rFonts w:hint="default"/>
      </w:rPr>
    </w:lvl>
    <w:lvl w:ilvl="2" w:tplc="ACD85BAC">
      <w:numFmt w:val="bullet"/>
      <w:lvlText w:val="•"/>
      <w:lvlJc w:val="left"/>
      <w:pPr>
        <w:ind w:left="2181" w:hanging="219"/>
      </w:pPr>
      <w:rPr>
        <w:rFonts w:hint="default"/>
      </w:rPr>
    </w:lvl>
    <w:lvl w:ilvl="3" w:tplc="32786E80">
      <w:numFmt w:val="bullet"/>
      <w:lvlText w:val="•"/>
      <w:lvlJc w:val="left"/>
      <w:pPr>
        <w:ind w:left="3141" w:hanging="219"/>
      </w:pPr>
      <w:rPr>
        <w:rFonts w:hint="default"/>
      </w:rPr>
    </w:lvl>
    <w:lvl w:ilvl="4" w:tplc="AA14726E">
      <w:numFmt w:val="bullet"/>
      <w:lvlText w:val="•"/>
      <w:lvlJc w:val="left"/>
      <w:pPr>
        <w:ind w:left="4102" w:hanging="219"/>
      </w:pPr>
      <w:rPr>
        <w:rFonts w:hint="default"/>
      </w:rPr>
    </w:lvl>
    <w:lvl w:ilvl="5" w:tplc="75C0B3DA">
      <w:numFmt w:val="bullet"/>
      <w:lvlText w:val="•"/>
      <w:lvlJc w:val="left"/>
      <w:pPr>
        <w:ind w:left="5063" w:hanging="219"/>
      </w:pPr>
      <w:rPr>
        <w:rFonts w:hint="default"/>
      </w:rPr>
    </w:lvl>
    <w:lvl w:ilvl="6" w:tplc="611256A8">
      <w:numFmt w:val="bullet"/>
      <w:lvlText w:val="•"/>
      <w:lvlJc w:val="left"/>
      <w:pPr>
        <w:ind w:left="6023" w:hanging="219"/>
      </w:pPr>
      <w:rPr>
        <w:rFonts w:hint="default"/>
      </w:rPr>
    </w:lvl>
    <w:lvl w:ilvl="7" w:tplc="D8A48C0E">
      <w:numFmt w:val="bullet"/>
      <w:lvlText w:val="•"/>
      <w:lvlJc w:val="left"/>
      <w:pPr>
        <w:ind w:left="6984" w:hanging="219"/>
      </w:pPr>
      <w:rPr>
        <w:rFonts w:hint="default"/>
      </w:rPr>
    </w:lvl>
    <w:lvl w:ilvl="8" w:tplc="6DC6BF4A">
      <w:numFmt w:val="bullet"/>
      <w:lvlText w:val="•"/>
      <w:lvlJc w:val="left"/>
      <w:pPr>
        <w:ind w:left="7945" w:hanging="219"/>
      </w:pPr>
      <w:rPr>
        <w:rFonts w:hint="default"/>
      </w:rPr>
    </w:lvl>
  </w:abstractNum>
  <w:abstractNum w:abstractNumId="29" w15:restartNumberingAfterBreak="0">
    <w:nsid w:val="55A9724A"/>
    <w:multiLevelType w:val="hybridMultilevel"/>
    <w:tmpl w:val="8CA631E2"/>
    <w:lvl w:ilvl="0" w:tplc="F8EC3B16">
      <w:start w:val="1"/>
      <w:numFmt w:val="decimal"/>
      <w:lvlText w:val="%1."/>
      <w:lvlJc w:val="left"/>
      <w:pPr>
        <w:ind w:left="620" w:hanging="360"/>
      </w:pPr>
      <w:rPr>
        <w:rFonts w:ascii="Calibri" w:eastAsia="Calibri" w:hAnsi="Calibri" w:cs="Calibri" w:hint="default"/>
        <w:w w:val="100"/>
        <w:sz w:val="22"/>
        <w:szCs w:val="22"/>
      </w:rPr>
    </w:lvl>
    <w:lvl w:ilvl="1" w:tplc="0F4AD994">
      <w:start w:val="1"/>
      <w:numFmt w:val="lowerLetter"/>
      <w:lvlText w:val="(%2)"/>
      <w:lvlJc w:val="left"/>
      <w:pPr>
        <w:ind w:left="980" w:hanging="360"/>
      </w:pPr>
      <w:rPr>
        <w:rFonts w:ascii="Calibri" w:eastAsia="Calibri" w:hAnsi="Calibri" w:cs="Calibri" w:hint="default"/>
        <w:spacing w:val="-1"/>
        <w:w w:val="100"/>
        <w:sz w:val="22"/>
        <w:szCs w:val="22"/>
      </w:rPr>
    </w:lvl>
    <w:lvl w:ilvl="2" w:tplc="C41C0EF4">
      <w:numFmt w:val="bullet"/>
      <w:lvlText w:val="•"/>
      <w:lvlJc w:val="left"/>
      <w:pPr>
        <w:ind w:left="1967" w:hanging="360"/>
      </w:pPr>
      <w:rPr>
        <w:rFonts w:hint="default"/>
      </w:rPr>
    </w:lvl>
    <w:lvl w:ilvl="3" w:tplc="E5DA871A">
      <w:numFmt w:val="bullet"/>
      <w:lvlText w:val="•"/>
      <w:lvlJc w:val="left"/>
      <w:pPr>
        <w:ind w:left="2954" w:hanging="360"/>
      </w:pPr>
      <w:rPr>
        <w:rFonts w:hint="default"/>
      </w:rPr>
    </w:lvl>
    <w:lvl w:ilvl="4" w:tplc="7AE8A17E">
      <w:numFmt w:val="bullet"/>
      <w:lvlText w:val="•"/>
      <w:lvlJc w:val="left"/>
      <w:pPr>
        <w:ind w:left="3942" w:hanging="360"/>
      </w:pPr>
      <w:rPr>
        <w:rFonts w:hint="default"/>
      </w:rPr>
    </w:lvl>
    <w:lvl w:ilvl="5" w:tplc="C6CC1F74">
      <w:numFmt w:val="bullet"/>
      <w:lvlText w:val="•"/>
      <w:lvlJc w:val="left"/>
      <w:pPr>
        <w:ind w:left="4929" w:hanging="360"/>
      </w:pPr>
      <w:rPr>
        <w:rFonts w:hint="default"/>
      </w:rPr>
    </w:lvl>
    <w:lvl w:ilvl="6" w:tplc="E59E6A88">
      <w:numFmt w:val="bullet"/>
      <w:lvlText w:val="•"/>
      <w:lvlJc w:val="left"/>
      <w:pPr>
        <w:ind w:left="5916" w:hanging="360"/>
      </w:pPr>
      <w:rPr>
        <w:rFonts w:hint="default"/>
      </w:rPr>
    </w:lvl>
    <w:lvl w:ilvl="7" w:tplc="7DACB7FC">
      <w:numFmt w:val="bullet"/>
      <w:lvlText w:val="•"/>
      <w:lvlJc w:val="left"/>
      <w:pPr>
        <w:ind w:left="6904" w:hanging="360"/>
      </w:pPr>
      <w:rPr>
        <w:rFonts w:hint="default"/>
      </w:rPr>
    </w:lvl>
    <w:lvl w:ilvl="8" w:tplc="D652AE82">
      <w:numFmt w:val="bullet"/>
      <w:lvlText w:val="•"/>
      <w:lvlJc w:val="left"/>
      <w:pPr>
        <w:ind w:left="7891" w:hanging="360"/>
      </w:pPr>
      <w:rPr>
        <w:rFonts w:hint="default"/>
      </w:rPr>
    </w:lvl>
  </w:abstractNum>
  <w:abstractNum w:abstractNumId="30" w15:restartNumberingAfterBreak="0">
    <w:nsid w:val="57615DA3"/>
    <w:multiLevelType w:val="hybridMultilevel"/>
    <w:tmpl w:val="E252E820"/>
    <w:lvl w:ilvl="0" w:tplc="8FD217E0">
      <w:start w:val="1"/>
      <w:numFmt w:val="decimal"/>
      <w:lvlText w:val="%1."/>
      <w:lvlJc w:val="left"/>
      <w:pPr>
        <w:ind w:left="620" w:hanging="360"/>
      </w:pPr>
      <w:rPr>
        <w:rFonts w:ascii="Calibri" w:eastAsia="Calibri" w:hAnsi="Calibri" w:cs="Calibri" w:hint="default"/>
        <w:w w:val="100"/>
        <w:sz w:val="22"/>
        <w:szCs w:val="22"/>
      </w:rPr>
    </w:lvl>
    <w:lvl w:ilvl="1" w:tplc="6136C4C2">
      <w:numFmt w:val="bullet"/>
      <w:lvlText w:val="•"/>
      <w:lvlJc w:val="left"/>
      <w:pPr>
        <w:ind w:left="1544" w:hanging="360"/>
      </w:pPr>
      <w:rPr>
        <w:rFonts w:hint="default"/>
      </w:rPr>
    </w:lvl>
    <w:lvl w:ilvl="2" w:tplc="D7DA409A">
      <w:numFmt w:val="bullet"/>
      <w:lvlText w:val="•"/>
      <w:lvlJc w:val="left"/>
      <w:pPr>
        <w:ind w:left="2469" w:hanging="360"/>
      </w:pPr>
      <w:rPr>
        <w:rFonts w:hint="default"/>
      </w:rPr>
    </w:lvl>
    <w:lvl w:ilvl="3" w:tplc="BBC066F8">
      <w:numFmt w:val="bullet"/>
      <w:lvlText w:val="•"/>
      <w:lvlJc w:val="left"/>
      <w:pPr>
        <w:ind w:left="3393" w:hanging="360"/>
      </w:pPr>
      <w:rPr>
        <w:rFonts w:hint="default"/>
      </w:rPr>
    </w:lvl>
    <w:lvl w:ilvl="4" w:tplc="BDDC4E8E">
      <w:numFmt w:val="bullet"/>
      <w:lvlText w:val="•"/>
      <w:lvlJc w:val="left"/>
      <w:pPr>
        <w:ind w:left="4318" w:hanging="360"/>
      </w:pPr>
      <w:rPr>
        <w:rFonts w:hint="default"/>
      </w:rPr>
    </w:lvl>
    <w:lvl w:ilvl="5" w:tplc="095E953C">
      <w:numFmt w:val="bullet"/>
      <w:lvlText w:val="•"/>
      <w:lvlJc w:val="left"/>
      <w:pPr>
        <w:ind w:left="5243" w:hanging="360"/>
      </w:pPr>
      <w:rPr>
        <w:rFonts w:hint="default"/>
      </w:rPr>
    </w:lvl>
    <w:lvl w:ilvl="6" w:tplc="8B501288">
      <w:numFmt w:val="bullet"/>
      <w:lvlText w:val="•"/>
      <w:lvlJc w:val="left"/>
      <w:pPr>
        <w:ind w:left="6167" w:hanging="360"/>
      </w:pPr>
      <w:rPr>
        <w:rFonts w:hint="default"/>
      </w:rPr>
    </w:lvl>
    <w:lvl w:ilvl="7" w:tplc="2C10EC26">
      <w:numFmt w:val="bullet"/>
      <w:lvlText w:val="•"/>
      <w:lvlJc w:val="left"/>
      <w:pPr>
        <w:ind w:left="7092" w:hanging="360"/>
      </w:pPr>
      <w:rPr>
        <w:rFonts w:hint="default"/>
      </w:rPr>
    </w:lvl>
    <w:lvl w:ilvl="8" w:tplc="3588EE04">
      <w:numFmt w:val="bullet"/>
      <w:lvlText w:val="•"/>
      <w:lvlJc w:val="left"/>
      <w:pPr>
        <w:ind w:left="8017" w:hanging="360"/>
      </w:pPr>
      <w:rPr>
        <w:rFonts w:hint="default"/>
      </w:rPr>
    </w:lvl>
  </w:abstractNum>
  <w:abstractNum w:abstractNumId="31" w15:restartNumberingAfterBreak="0">
    <w:nsid w:val="582F43F4"/>
    <w:multiLevelType w:val="hybridMultilevel"/>
    <w:tmpl w:val="FF0E5164"/>
    <w:lvl w:ilvl="0" w:tplc="D7160720">
      <w:start w:val="1"/>
      <w:numFmt w:val="decimal"/>
      <w:lvlText w:val="%1."/>
      <w:lvlJc w:val="left"/>
      <w:pPr>
        <w:ind w:left="620" w:hanging="360"/>
      </w:pPr>
      <w:rPr>
        <w:rFonts w:ascii="Calibri" w:eastAsia="Calibri" w:hAnsi="Calibri" w:cs="Calibri" w:hint="default"/>
        <w:b w:val="0"/>
        <w:bCs w:val="0"/>
        <w:w w:val="100"/>
        <w:sz w:val="22"/>
        <w:szCs w:val="22"/>
      </w:rPr>
    </w:lvl>
    <w:lvl w:ilvl="1" w:tplc="8B1C1832">
      <w:start w:val="1"/>
      <w:numFmt w:val="lowerLetter"/>
      <w:lvlText w:val="(%2)"/>
      <w:lvlJc w:val="left"/>
      <w:pPr>
        <w:ind w:left="980" w:hanging="360"/>
      </w:pPr>
      <w:rPr>
        <w:rFonts w:ascii="Calibri" w:eastAsia="Calibri" w:hAnsi="Calibri" w:cs="Calibri" w:hint="default"/>
        <w:spacing w:val="-1"/>
        <w:w w:val="100"/>
        <w:sz w:val="22"/>
        <w:szCs w:val="22"/>
      </w:rPr>
    </w:lvl>
    <w:lvl w:ilvl="2" w:tplc="7FC88A9C">
      <w:numFmt w:val="bullet"/>
      <w:lvlText w:val="•"/>
      <w:lvlJc w:val="left"/>
      <w:pPr>
        <w:ind w:left="1967" w:hanging="360"/>
      </w:pPr>
      <w:rPr>
        <w:rFonts w:hint="default"/>
      </w:rPr>
    </w:lvl>
    <w:lvl w:ilvl="3" w:tplc="12BAEE04">
      <w:numFmt w:val="bullet"/>
      <w:lvlText w:val="•"/>
      <w:lvlJc w:val="left"/>
      <w:pPr>
        <w:ind w:left="2954" w:hanging="360"/>
      </w:pPr>
      <w:rPr>
        <w:rFonts w:hint="default"/>
      </w:rPr>
    </w:lvl>
    <w:lvl w:ilvl="4" w:tplc="D4A682F4">
      <w:numFmt w:val="bullet"/>
      <w:lvlText w:val="•"/>
      <w:lvlJc w:val="left"/>
      <w:pPr>
        <w:ind w:left="3942" w:hanging="360"/>
      </w:pPr>
      <w:rPr>
        <w:rFonts w:hint="default"/>
      </w:rPr>
    </w:lvl>
    <w:lvl w:ilvl="5" w:tplc="3E8E4CCC">
      <w:numFmt w:val="bullet"/>
      <w:lvlText w:val="•"/>
      <w:lvlJc w:val="left"/>
      <w:pPr>
        <w:ind w:left="4929" w:hanging="360"/>
      </w:pPr>
      <w:rPr>
        <w:rFonts w:hint="default"/>
      </w:rPr>
    </w:lvl>
    <w:lvl w:ilvl="6" w:tplc="8BF80D8E">
      <w:numFmt w:val="bullet"/>
      <w:lvlText w:val="•"/>
      <w:lvlJc w:val="left"/>
      <w:pPr>
        <w:ind w:left="5916" w:hanging="360"/>
      </w:pPr>
      <w:rPr>
        <w:rFonts w:hint="default"/>
      </w:rPr>
    </w:lvl>
    <w:lvl w:ilvl="7" w:tplc="51E88978">
      <w:numFmt w:val="bullet"/>
      <w:lvlText w:val="•"/>
      <w:lvlJc w:val="left"/>
      <w:pPr>
        <w:ind w:left="6904" w:hanging="360"/>
      </w:pPr>
      <w:rPr>
        <w:rFonts w:hint="default"/>
      </w:rPr>
    </w:lvl>
    <w:lvl w:ilvl="8" w:tplc="24FC24F8">
      <w:numFmt w:val="bullet"/>
      <w:lvlText w:val="•"/>
      <w:lvlJc w:val="left"/>
      <w:pPr>
        <w:ind w:left="7891" w:hanging="360"/>
      </w:pPr>
      <w:rPr>
        <w:rFonts w:hint="default"/>
      </w:rPr>
    </w:lvl>
  </w:abstractNum>
  <w:abstractNum w:abstractNumId="32" w15:restartNumberingAfterBreak="0">
    <w:nsid w:val="59073BB2"/>
    <w:multiLevelType w:val="hybridMultilevel"/>
    <w:tmpl w:val="C4DCC530"/>
    <w:lvl w:ilvl="0" w:tplc="59DA5BE6">
      <w:start w:val="1"/>
      <w:numFmt w:val="decimal"/>
      <w:lvlText w:val="%1."/>
      <w:lvlJc w:val="left"/>
      <w:pPr>
        <w:ind w:left="620" w:hanging="360"/>
      </w:pPr>
      <w:rPr>
        <w:rFonts w:ascii="Calibri" w:eastAsia="Calibri" w:hAnsi="Calibri" w:cs="Calibri" w:hint="default"/>
        <w:w w:val="100"/>
        <w:sz w:val="22"/>
        <w:szCs w:val="22"/>
      </w:rPr>
    </w:lvl>
    <w:lvl w:ilvl="1" w:tplc="0ADAAAAC">
      <w:start w:val="1"/>
      <w:numFmt w:val="lowerLetter"/>
      <w:lvlText w:val="(%2)"/>
      <w:lvlJc w:val="left"/>
      <w:pPr>
        <w:ind w:left="980" w:hanging="360"/>
      </w:pPr>
      <w:rPr>
        <w:rFonts w:ascii="Calibri" w:eastAsia="Calibri" w:hAnsi="Calibri" w:cs="Calibri" w:hint="default"/>
        <w:spacing w:val="-1"/>
        <w:w w:val="100"/>
        <w:sz w:val="22"/>
        <w:szCs w:val="22"/>
      </w:rPr>
    </w:lvl>
    <w:lvl w:ilvl="2" w:tplc="1DB40B7A">
      <w:numFmt w:val="bullet"/>
      <w:lvlText w:val="•"/>
      <w:lvlJc w:val="left"/>
      <w:pPr>
        <w:ind w:left="1967" w:hanging="360"/>
      </w:pPr>
      <w:rPr>
        <w:rFonts w:hint="default"/>
      </w:rPr>
    </w:lvl>
    <w:lvl w:ilvl="3" w:tplc="A4029162">
      <w:numFmt w:val="bullet"/>
      <w:lvlText w:val="•"/>
      <w:lvlJc w:val="left"/>
      <w:pPr>
        <w:ind w:left="2954" w:hanging="360"/>
      </w:pPr>
      <w:rPr>
        <w:rFonts w:hint="default"/>
      </w:rPr>
    </w:lvl>
    <w:lvl w:ilvl="4" w:tplc="C5B89F1C">
      <w:numFmt w:val="bullet"/>
      <w:lvlText w:val="•"/>
      <w:lvlJc w:val="left"/>
      <w:pPr>
        <w:ind w:left="3942" w:hanging="360"/>
      </w:pPr>
      <w:rPr>
        <w:rFonts w:hint="default"/>
      </w:rPr>
    </w:lvl>
    <w:lvl w:ilvl="5" w:tplc="A2C04DCC">
      <w:numFmt w:val="bullet"/>
      <w:lvlText w:val="•"/>
      <w:lvlJc w:val="left"/>
      <w:pPr>
        <w:ind w:left="4929" w:hanging="360"/>
      </w:pPr>
      <w:rPr>
        <w:rFonts w:hint="default"/>
      </w:rPr>
    </w:lvl>
    <w:lvl w:ilvl="6" w:tplc="2280FF48">
      <w:numFmt w:val="bullet"/>
      <w:lvlText w:val="•"/>
      <w:lvlJc w:val="left"/>
      <w:pPr>
        <w:ind w:left="5916" w:hanging="360"/>
      </w:pPr>
      <w:rPr>
        <w:rFonts w:hint="default"/>
      </w:rPr>
    </w:lvl>
    <w:lvl w:ilvl="7" w:tplc="F6BAEE04">
      <w:numFmt w:val="bullet"/>
      <w:lvlText w:val="•"/>
      <w:lvlJc w:val="left"/>
      <w:pPr>
        <w:ind w:left="6904" w:hanging="360"/>
      </w:pPr>
      <w:rPr>
        <w:rFonts w:hint="default"/>
      </w:rPr>
    </w:lvl>
    <w:lvl w:ilvl="8" w:tplc="D1B485E0">
      <w:numFmt w:val="bullet"/>
      <w:lvlText w:val="•"/>
      <w:lvlJc w:val="left"/>
      <w:pPr>
        <w:ind w:left="7891" w:hanging="360"/>
      </w:pPr>
      <w:rPr>
        <w:rFonts w:hint="default"/>
      </w:rPr>
    </w:lvl>
  </w:abstractNum>
  <w:abstractNum w:abstractNumId="33" w15:restartNumberingAfterBreak="0">
    <w:nsid w:val="5A8E4507"/>
    <w:multiLevelType w:val="hybridMultilevel"/>
    <w:tmpl w:val="87A2CEC2"/>
    <w:lvl w:ilvl="0" w:tplc="0F4AD994">
      <w:start w:val="1"/>
      <w:numFmt w:val="lowerLetter"/>
      <w:lvlText w:val="(%1)"/>
      <w:lvlJc w:val="left"/>
      <w:pPr>
        <w:ind w:left="830" w:hanging="360"/>
      </w:pPr>
      <w:rPr>
        <w:rFonts w:ascii="Calibri" w:eastAsia="Calibri" w:hAnsi="Calibri" w:cs="Calibri" w:hint="default"/>
        <w:spacing w:val="-1"/>
        <w:w w:val="100"/>
        <w:sz w:val="22"/>
        <w:szCs w:val="22"/>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34" w15:restartNumberingAfterBreak="0">
    <w:nsid w:val="5C8A7277"/>
    <w:multiLevelType w:val="hybridMultilevel"/>
    <w:tmpl w:val="3A4CEA38"/>
    <w:lvl w:ilvl="0" w:tplc="057A8DAE">
      <w:start w:val="1"/>
      <w:numFmt w:val="upperLetter"/>
      <w:lvlText w:val="%1."/>
      <w:lvlJc w:val="left"/>
      <w:pPr>
        <w:ind w:left="493" w:hanging="233"/>
      </w:pPr>
      <w:rPr>
        <w:rFonts w:ascii="Calibri" w:eastAsia="Calibri" w:hAnsi="Calibri" w:cs="Calibri" w:hint="default"/>
        <w:w w:val="100"/>
        <w:sz w:val="22"/>
        <w:szCs w:val="22"/>
      </w:rPr>
    </w:lvl>
    <w:lvl w:ilvl="1" w:tplc="C02A7C06">
      <w:numFmt w:val="bullet"/>
      <w:lvlText w:val="•"/>
      <w:lvlJc w:val="left"/>
      <w:pPr>
        <w:ind w:left="1436" w:hanging="233"/>
      </w:pPr>
      <w:rPr>
        <w:rFonts w:hint="default"/>
      </w:rPr>
    </w:lvl>
    <w:lvl w:ilvl="2" w:tplc="8C3EBBC6">
      <w:numFmt w:val="bullet"/>
      <w:lvlText w:val="•"/>
      <w:lvlJc w:val="left"/>
      <w:pPr>
        <w:ind w:left="2373" w:hanging="233"/>
      </w:pPr>
      <w:rPr>
        <w:rFonts w:hint="default"/>
      </w:rPr>
    </w:lvl>
    <w:lvl w:ilvl="3" w:tplc="13306998">
      <w:numFmt w:val="bullet"/>
      <w:lvlText w:val="•"/>
      <w:lvlJc w:val="left"/>
      <w:pPr>
        <w:ind w:left="3309" w:hanging="233"/>
      </w:pPr>
      <w:rPr>
        <w:rFonts w:hint="default"/>
      </w:rPr>
    </w:lvl>
    <w:lvl w:ilvl="4" w:tplc="4AAAB508">
      <w:numFmt w:val="bullet"/>
      <w:lvlText w:val="•"/>
      <w:lvlJc w:val="left"/>
      <w:pPr>
        <w:ind w:left="4246" w:hanging="233"/>
      </w:pPr>
      <w:rPr>
        <w:rFonts w:hint="default"/>
      </w:rPr>
    </w:lvl>
    <w:lvl w:ilvl="5" w:tplc="65FCCDC2">
      <w:numFmt w:val="bullet"/>
      <w:lvlText w:val="•"/>
      <w:lvlJc w:val="left"/>
      <w:pPr>
        <w:ind w:left="5183" w:hanging="233"/>
      </w:pPr>
      <w:rPr>
        <w:rFonts w:hint="default"/>
      </w:rPr>
    </w:lvl>
    <w:lvl w:ilvl="6" w:tplc="16808578">
      <w:numFmt w:val="bullet"/>
      <w:lvlText w:val="•"/>
      <w:lvlJc w:val="left"/>
      <w:pPr>
        <w:ind w:left="6119" w:hanging="233"/>
      </w:pPr>
      <w:rPr>
        <w:rFonts w:hint="default"/>
      </w:rPr>
    </w:lvl>
    <w:lvl w:ilvl="7" w:tplc="BCF22A8A">
      <w:numFmt w:val="bullet"/>
      <w:lvlText w:val="•"/>
      <w:lvlJc w:val="left"/>
      <w:pPr>
        <w:ind w:left="7056" w:hanging="233"/>
      </w:pPr>
      <w:rPr>
        <w:rFonts w:hint="default"/>
      </w:rPr>
    </w:lvl>
    <w:lvl w:ilvl="8" w:tplc="52C2674E">
      <w:numFmt w:val="bullet"/>
      <w:lvlText w:val="•"/>
      <w:lvlJc w:val="left"/>
      <w:pPr>
        <w:ind w:left="7993" w:hanging="233"/>
      </w:pPr>
      <w:rPr>
        <w:rFonts w:hint="default"/>
      </w:rPr>
    </w:lvl>
  </w:abstractNum>
  <w:abstractNum w:abstractNumId="35" w15:restartNumberingAfterBreak="0">
    <w:nsid w:val="627D31DF"/>
    <w:multiLevelType w:val="hybridMultilevel"/>
    <w:tmpl w:val="F7507404"/>
    <w:lvl w:ilvl="0" w:tplc="6184942C">
      <w:start w:val="1"/>
      <w:numFmt w:val="upperLetter"/>
      <w:lvlText w:val="%1."/>
      <w:lvlJc w:val="left"/>
      <w:pPr>
        <w:ind w:left="260" w:hanging="245"/>
      </w:pPr>
      <w:rPr>
        <w:rFonts w:ascii="Calibri" w:eastAsia="Calibri" w:hAnsi="Calibri" w:cs="Calibri" w:hint="default"/>
        <w:b/>
        <w:bCs/>
        <w:w w:val="100"/>
        <w:sz w:val="22"/>
        <w:szCs w:val="22"/>
      </w:rPr>
    </w:lvl>
    <w:lvl w:ilvl="1" w:tplc="EFFA021E">
      <w:start w:val="1"/>
      <w:numFmt w:val="lowerLetter"/>
      <w:lvlText w:val="(%2)"/>
      <w:lvlJc w:val="left"/>
      <w:pPr>
        <w:ind w:left="980" w:hanging="360"/>
      </w:pPr>
      <w:rPr>
        <w:rFonts w:ascii="Calibri" w:eastAsia="Calibri" w:hAnsi="Calibri" w:cs="Calibri" w:hint="default"/>
        <w:spacing w:val="-1"/>
        <w:w w:val="100"/>
        <w:sz w:val="22"/>
        <w:szCs w:val="22"/>
      </w:rPr>
    </w:lvl>
    <w:lvl w:ilvl="2" w:tplc="8F649C1E">
      <w:numFmt w:val="bullet"/>
      <w:lvlText w:val="•"/>
      <w:lvlJc w:val="left"/>
      <w:pPr>
        <w:ind w:left="1967" w:hanging="360"/>
      </w:pPr>
      <w:rPr>
        <w:rFonts w:hint="default"/>
      </w:rPr>
    </w:lvl>
    <w:lvl w:ilvl="3" w:tplc="D17CFF98">
      <w:numFmt w:val="bullet"/>
      <w:lvlText w:val="•"/>
      <w:lvlJc w:val="left"/>
      <w:pPr>
        <w:ind w:left="2954" w:hanging="360"/>
      </w:pPr>
      <w:rPr>
        <w:rFonts w:hint="default"/>
      </w:rPr>
    </w:lvl>
    <w:lvl w:ilvl="4" w:tplc="0038BF24">
      <w:numFmt w:val="bullet"/>
      <w:lvlText w:val="•"/>
      <w:lvlJc w:val="left"/>
      <w:pPr>
        <w:ind w:left="3942" w:hanging="360"/>
      </w:pPr>
      <w:rPr>
        <w:rFonts w:hint="default"/>
      </w:rPr>
    </w:lvl>
    <w:lvl w:ilvl="5" w:tplc="5040182A">
      <w:numFmt w:val="bullet"/>
      <w:lvlText w:val="•"/>
      <w:lvlJc w:val="left"/>
      <w:pPr>
        <w:ind w:left="4929" w:hanging="360"/>
      </w:pPr>
      <w:rPr>
        <w:rFonts w:hint="default"/>
      </w:rPr>
    </w:lvl>
    <w:lvl w:ilvl="6" w:tplc="574C5322">
      <w:numFmt w:val="bullet"/>
      <w:lvlText w:val="•"/>
      <w:lvlJc w:val="left"/>
      <w:pPr>
        <w:ind w:left="5916" w:hanging="360"/>
      </w:pPr>
      <w:rPr>
        <w:rFonts w:hint="default"/>
      </w:rPr>
    </w:lvl>
    <w:lvl w:ilvl="7" w:tplc="D85E0660">
      <w:numFmt w:val="bullet"/>
      <w:lvlText w:val="•"/>
      <w:lvlJc w:val="left"/>
      <w:pPr>
        <w:ind w:left="6904" w:hanging="360"/>
      </w:pPr>
      <w:rPr>
        <w:rFonts w:hint="default"/>
      </w:rPr>
    </w:lvl>
    <w:lvl w:ilvl="8" w:tplc="E7788106">
      <w:numFmt w:val="bullet"/>
      <w:lvlText w:val="•"/>
      <w:lvlJc w:val="left"/>
      <w:pPr>
        <w:ind w:left="7891" w:hanging="360"/>
      </w:pPr>
      <w:rPr>
        <w:rFonts w:hint="default"/>
      </w:rPr>
    </w:lvl>
  </w:abstractNum>
  <w:abstractNum w:abstractNumId="36" w15:restartNumberingAfterBreak="0">
    <w:nsid w:val="675F77C7"/>
    <w:multiLevelType w:val="hybridMultilevel"/>
    <w:tmpl w:val="CD8AD5AC"/>
    <w:lvl w:ilvl="0" w:tplc="C8D2DD26">
      <w:start w:val="1"/>
      <w:numFmt w:val="decimal"/>
      <w:lvlText w:val="%1."/>
      <w:lvlJc w:val="left"/>
      <w:pPr>
        <w:ind w:left="620" w:hanging="360"/>
      </w:pPr>
      <w:rPr>
        <w:rFonts w:ascii="Calibri" w:eastAsia="Calibri" w:hAnsi="Calibri" w:cs="Calibri" w:hint="default"/>
        <w:w w:val="100"/>
        <w:sz w:val="22"/>
        <w:szCs w:val="22"/>
      </w:rPr>
    </w:lvl>
    <w:lvl w:ilvl="1" w:tplc="B2F4BD00">
      <w:start w:val="1"/>
      <w:numFmt w:val="lowerLetter"/>
      <w:lvlText w:val="(%2)"/>
      <w:lvlJc w:val="left"/>
      <w:pPr>
        <w:ind w:left="980" w:hanging="360"/>
      </w:pPr>
      <w:rPr>
        <w:rFonts w:ascii="Calibri" w:eastAsia="Calibri" w:hAnsi="Calibri" w:cs="Calibri" w:hint="default"/>
        <w:spacing w:val="-1"/>
        <w:w w:val="100"/>
        <w:sz w:val="22"/>
        <w:szCs w:val="22"/>
      </w:rPr>
    </w:lvl>
    <w:lvl w:ilvl="2" w:tplc="5A3891B6">
      <w:start w:val="1"/>
      <w:numFmt w:val="lowerRoman"/>
      <w:lvlText w:val="(%3)"/>
      <w:lvlJc w:val="left"/>
      <w:pPr>
        <w:ind w:left="1340" w:hanging="360"/>
      </w:pPr>
      <w:rPr>
        <w:rFonts w:ascii="Calibri" w:eastAsia="Calibri" w:hAnsi="Calibri" w:cs="Calibri" w:hint="default"/>
        <w:spacing w:val="-1"/>
        <w:w w:val="100"/>
        <w:sz w:val="22"/>
        <w:szCs w:val="22"/>
      </w:rPr>
    </w:lvl>
    <w:lvl w:ilvl="3" w:tplc="86C49674">
      <w:numFmt w:val="bullet"/>
      <w:lvlText w:val="•"/>
      <w:lvlJc w:val="left"/>
      <w:pPr>
        <w:ind w:left="2405" w:hanging="360"/>
      </w:pPr>
      <w:rPr>
        <w:rFonts w:hint="default"/>
      </w:rPr>
    </w:lvl>
    <w:lvl w:ilvl="4" w:tplc="8D1AAE5E">
      <w:numFmt w:val="bullet"/>
      <w:lvlText w:val="•"/>
      <w:lvlJc w:val="left"/>
      <w:pPr>
        <w:ind w:left="3471" w:hanging="360"/>
      </w:pPr>
      <w:rPr>
        <w:rFonts w:hint="default"/>
      </w:rPr>
    </w:lvl>
    <w:lvl w:ilvl="5" w:tplc="C92C1FBE">
      <w:numFmt w:val="bullet"/>
      <w:lvlText w:val="•"/>
      <w:lvlJc w:val="left"/>
      <w:pPr>
        <w:ind w:left="4537" w:hanging="360"/>
      </w:pPr>
      <w:rPr>
        <w:rFonts w:hint="default"/>
      </w:rPr>
    </w:lvl>
    <w:lvl w:ilvl="6" w:tplc="26224108">
      <w:numFmt w:val="bullet"/>
      <w:lvlText w:val="•"/>
      <w:lvlJc w:val="left"/>
      <w:pPr>
        <w:ind w:left="5603" w:hanging="360"/>
      </w:pPr>
      <w:rPr>
        <w:rFonts w:hint="default"/>
      </w:rPr>
    </w:lvl>
    <w:lvl w:ilvl="7" w:tplc="4FF866BC">
      <w:numFmt w:val="bullet"/>
      <w:lvlText w:val="•"/>
      <w:lvlJc w:val="left"/>
      <w:pPr>
        <w:ind w:left="6669" w:hanging="360"/>
      </w:pPr>
      <w:rPr>
        <w:rFonts w:hint="default"/>
      </w:rPr>
    </w:lvl>
    <w:lvl w:ilvl="8" w:tplc="9F424F70">
      <w:numFmt w:val="bullet"/>
      <w:lvlText w:val="•"/>
      <w:lvlJc w:val="left"/>
      <w:pPr>
        <w:ind w:left="7734" w:hanging="360"/>
      </w:pPr>
      <w:rPr>
        <w:rFonts w:hint="default"/>
      </w:rPr>
    </w:lvl>
  </w:abstractNum>
  <w:abstractNum w:abstractNumId="37" w15:restartNumberingAfterBreak="0">
    <w:nsid w:val="6A230DBB"/>
    <w:multiLevelType w:val="hybridMultilevel"/>
    <w:tmpl w:val="CE6216CE"/>
    <w:lvl w:ilvl="0" w:tplc="373ECF38">
      <w:start w:val="1"/>
      <w:numFmt w:val="upperLetter"/>
      <w:lvlText w:val="%1."/>
      <w:lvlJc w:val="left"/>
      <w:pPr>
        <w:ind w:left="493" w:hanging="233"/>
      </w:pPr>
      <w:rPr>
        <w:rFonts w:ascii="Calibri" w:eastAsia="Calibri" w:hAnsi="Calibri" w:cs="Calibri" w:hint="default"/>
        <w:w w:val="100"/>
        <w:sz w:val="22"/>
        <w:szCs w:val="22"/>
      </w:rPr>
    </w:lvl>
    <w:lvl w:ilvl="1" w:tplc="2FCC318C">
      <w:numFmt w:val="bullet"/>
      <w:lvlText w:val="•"/>
      <w:lvlJc w:val="left"/>
      <w:pPr>
        <w:ind w:left="1436" w:hanging="233"/>
      </w:pPr>
      <w:rPr>
        <w:rFonts w:hint="default"/>
      </w:rPr>
    </w:lvl>
    <w:lvl w:ilvl="2" w:tplc="538C71EA">
      <w:numFmt w:val="bullet"/>
      <w:lvlText w:val="•"/>
      <w:lvlJc w:val="left"/>
      <w:pPr>
        <w:ind w:left="2373" w:hanging="233"/>
      </w:pPr>
      <w:rPr>
        <w:rFonts w:hint="default"/>
      </w:rPr>
    </w:lvl>
    <w:lvl w:ilvl="3" w:tplc="7A7C861A">
      <w:numFmt w:val="bullet"/>
      <w:lvlText w:val="•"/>
      <w:lvlJc w:val="left"/>
      <w:pPr>
        <w:ind w:left="3309" w:hanging="233"/>
      </w:pPr>
      <w:rPr>
        <w:rFonts w:hint="default"/>
      </w:rPr>
    </w:lvl>
    <w:lvl w:ilvl="4" w:tplc="FC64371A">
      <w:numFmt w:val="bullet"/>
      <w:lvlText w:val="•"/>
      <w:lvlJc w:val="left"/>
      <w:pPr>
        <w:ind w:left="4246" w:hanging="233"/>
      </w:pPr>
      <w:rPr>
        <w:rFonts w:hint="default"/>
      </w:rPr>
    </w:lvl>
    <w:lvl w:ilvl="5" w:tplc="32FC79E8">
      <w:numFmt w:val="bullet"/>
      <w:lvlText w:val="•"/>
      <w:lvlJc w:val="left"/>
      <w:pPr>
        <w:ind w:left="5183" w:hanging="233"/>
      </w:pPr>
      <w:rPr>
        <w:rFonts w:hint="default"/>
      </w:rPr>
    </w:lvl>
    <w:lvl w:ilvl="6" w:tplc="3FE47A96">
      <w:numFmt w:val="bullet"/>
      <w:lvlText w:val="•"/>
      <w:lvlJc w:val="left"/>
      <w:pPr>
        <w:ind w:left="6119" w:hanging="233"/>
      </w:pPr>
      <w:rPr>
        <w:rFonts w:hint="default"/>
      </w:rPr>
    </w:lvl>
    <w:lvl w:ilvl="7" w:tplc="3C40C97E">
      <w:numFmt w:val="bullet"/>
      <w:lvlText w:val="•"/>
      <w:lvlJc w:val="left"/>
      <w:pPr>
        <w:ind w:left="7056" w:hanging="233"/>
      </w:pPr>
      <w:rPr>
        <w:rFonts w:hint="default"/>
      </w:rPr>
    </w:lvl>
    <w:lvl w:ilvl="8" w:tplc="77BCF29A">
      <w:numFmt w:val="bullet"/>
      <w:lvlText w:val="•"/>
      <w:lvlJc w:val="left"/>
      <w:pPr>
        <w:ind w:left="7993" w:hanging="233"/>
      </w:pPr>
      <w:rPr>
        <w:rFonts w:hint="default"/>
      </w:rPr>
    </w:lvl>
  </w:abstractNum>
  <w:abstractNum w:abstractNumId="38" w15:restartNumberingAfterBreak="0">
    <w:nsid w:val="6E1204A3"/>
    <w:multiLevelType w:val="hybridMultilevel"/>
    <w:tmpl w:val="2B96634A"/>
    <w:lvl w:ilvl="0" w:tplc="64129562">
      <w:start w:val="1"/>
      <w:numFmt w:val="upperLetter"/>
      <w:lvlText w:val="%1."/>
      <w:lvlJc w:val="left"/>
      <w:pPr>
        <w:ind w:left="260" w:hanging="233"/>
      </w:pPr>
      <w:rPr>
        <w:rFonts w:ascii="Calibri" w:eastAsia="Calibri" w:hAnsi="Calibri" w:cs="Calibri" w:hint="default"/>
        <w:b/>
        <w:bCs/>
        <w:w w:val="100"/>
        <w:sz w:val="22"/>
        <w:szCs w:val="22"/>
      </w:rPr>
    </w:lvl>
    <w:lvl w:ilvl="1" w:tplc="806410A2">
      <w:numFmt w:val="bullet"/>
      <w:lvlText w:val="•"/>
      <w:lvlJc w:val="left"/>
      <w:pPr>
        <w:ind w:left="1220" w:hanging="233"/>
      </w:pPr>
      <w:rPr>
        <w:rFonts w:hint="default"/>
      </w:rPr>
    </w:lvl>
    <w:lvl w:ilvl="2" w:tplc="5E2AE4A8">
      <w:numFmt w:val="bullet"/>
      <w:lvlText w:val="•"/>
      <w:lvlJc w:val="left"/>
      <w:pPr>
        <w:ind w:left="2181" w:hanging="233"/>
      </w:pPr>
      <w:rPr>
        <w:rFonts w:hint="default"/>
      </w:rPr>
    </w:lvl>
    <w:lvl w:ilvl="3" w:tplc="B31E0BBE">
      <w:numFmt w:val="bullet"/>
      <w:lvlText w:val="•"/>
      <w:lvlJc w:val="left"/>
      <w:pPr>
        <w:ind w:left="3141" w:hanging="233"/>
      </w:pPr>
      <w:rPr>
        <w:rFonts w:hint="default"/>
      </w:rPr>
    </w:lvl>
    <w:lvl w:ilvl="4" w:tplc="E97826C2">
      <w:numFmt w:val="bullet"/>
      <w:lvlText w:val="•"/>
      <w:lvlJc w:val="left"/>
      <w:pPr>
        <w:ind w:left="4102" w:hanging="233"/>
      </w:pPr>
      <w:rPr>
        <w:rFonts w:hint="default"/>
      </w:rPr>
    </w:lvl>
    <w:lvl w:ilvl="5" w:tplc="522266F6">
      <w:numFmt w:val="bullet"/>
      <w:lvlText w:val="•"/>
      <w:lvlJc w:val="left"/>
      <w:pPr>
        <w:ind w:left="5063" w:hanging="233"/>
      </w:pPr>
      <w:rPr>
        <w:rFonts w:hint="default"/>
      </w:rPr>
    </w:lvl>
    <w:lvl w:ilvl="6" w:tplc="617C301A">
      <w:numFmt w:val="bullet"/>
      <w:lvlText w:val="•"/>
      <w:lvlJc w:val="left"/>
      <w:pPr>
        <w:ind w:left="6023" w:hanging="233"/>
      </w:pPr>
      <w:rPr>
        <w:rFonts w:hint="default"/>
      </w:rPr>
    </w:lvl>
    <w:lvl w:ilvl="7" w:tplc="D13C6840">
      <w:numFmt w:val="bullet"/>
      <w:lvlText w:val="•"/>
      <w:lvlJc w:val="left"/>
      <w:pPr>
        <w:ind w:left="6984" w:hanging="233"/>
      </w:pPr>
      <w:rPr>
        <w:rFonts w:hint="default"/>
      </w:rPr>
    </w:lvl>
    <w:lvl w:ilvl="8" w:tplc="D8D26FA4">
      <w:numFmt w:val="bullet"/>
      <w:lvlText w:val="•"/>
      <w:lvlJc w:val="left"/>
      <w:pPr>
        <w:ind w:left="7945" w:hanging="233"/>
      </w:pPr>
      <w:rPr>
        <w:rFonts w:hint="default"/>
      </w:rPr>
    </w:lvl>
  </w:abstractNum>
  <w:abstractNum w:abstractNumId="39" w15:restartNumberingAfterBreak="0">
    <w:nsid w:val="6FDC24F3"/>
    <w:multiLevelType w:val="hybridMultilevel"/>
    <w:tmpl w:val="8F203110"/>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15:restartNumberingAfterBreak="0">
    <w:nsid w:val="71A064ED"/>
    <w:multiLevelType w:val="hybridMultilevel"/>
    <w:tmpl w:val="87A2CEC2"/>
    <w:lvl w:ilvl="0" w:tplc="0F4AD994">
      <w:start w:val="1"/>
      <w:numFmt w:val="lowerLetter"/>
      <w:lvlText w:val="(%1)"/>
      <w:lvlJc w:val="left"/>
      <w:pPr>
        <w:ind w:left="830" w:hanging="360"/>
      </w:pPr>
      <w:rPr>
        <w:rFonts w:ascii="Calibri" w:eastAsia="Calibri" w:hAnsi="Calibri" w:cs="Calibri" w:hint="default"/>
        <w:spacing w:val="-1"/>
        <w:w w:val="100"/>
        <w:sz w:val="22"/>
        <w:szCs w:val="22"/>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41" w15:restartNumberingAfterBreak="0">
    <w:nsid w:val="7FB7563D"/>
    <w:multiLevelType w:val="hybridMultilevel"/>
    <w:tmpl w:val="EA4E3380"/>
    <w:lvl w:ilvl="0" w:tplc="07746642">
      <w:start w:val="1"/>
      <w:numFmt w:val="decimal"/>
      <w:lvlText w:val="%1."/>
      <w:lvlJc w:val="left"/>
      <w:pPr>
        <w:ind w:left="620" w:hanging="360"/>
      </w:pPr>
      <w:rPr>
        <w:rFonts w:hint="default"/>
        <w:b w:val="0"/>
        <w:bCs w:val="0"/>
        <w:w w:val="100"/>
      </w:rPr>
    </w:lvl>
    <w:lvl w:ilvl="1" w:tplc="B0BEF992">
      <w:start w:val="1"/>
      <w:numFmt w:val="lowerLetter"/>
      <w:lvlText w:val="(%2)"/>
      <w:lvlJc w:val="left"/>
      <w:pPr>
        <w:ind w:left="980" w:hanging="360"/>
      </w:pPr>
      <w:rPr>
        <w:rFonts w:ascii="Calibri" w:eastAsia="Calibri" w:hAnsi="Calibri" w:cs="Calibri" w:hint="default"/>
        <w:spacing w:val="-1"/>
        <w:w w:val="100"/>
        <w:sz w:val="22"/>
        <w:szCs w:val="22"/>
      </w:rPr>
    </w:lvl>
    <w:lvl w:ilvl="2" w:tplc="13AC241E">
      <w:numFmt w:val="bullet"/>
      <w:lvlText w:val="•"/>
      <w:lvlJc w:val="left"/>
      <w:pPr>
        <w:ind w:left="1967" w:hanging="360"/>
      </w:pPr>
      <w:rPr>
        <w:rFonts w:hint="default"/>
      </w:rPr>
    </w:lvl>
    <w:lvl w:ilvl="3" w:tplc="09CE6808">
      <w:numFmt w:val="bullet"/>
      <w:lvlText w:val="•"/>
      <w:lvlJc w:val="left"/>
      <w:pPr>
        <w:ind w:left="2954" w:hanging="360"/>
      </w:pPr>
      <w:rPr>
        <w:rFonts w:hint="default"/>
      </w:rPr>
    </w:lvl>
    <w:lvl w:ilvl="4" w:tplc="5A68A32A">
      <w:numFmt w:val="bullet"/>
      <w:lvlText w:val="•"/>
      <w:lvlJc w:val="left"/>
      <w:pPr>
        <w:ind w:left="3942" w:hanging="360"/>
      </w:pPr>
      <w:rPr>
        <w:rFonts w:hint="default"/>
      </w:rPr>
    </w:lvl>
    <w:lvl w:ilvl="5" w:tplc="F98E8804">
      <w:numFmt w:val="bullet"/>
      <w:lvlText w:val="•"/>
      <w:lvlJc w:val="left"/>
      <w:pPr>
        <w:ind w:left="4929" w:hanging="360"/>
      </w:pPr>
      <w:rPr>
        <w:rFonts w:hint="default"/>
      </w:rPr>
    </w:lvl>
    <w:lvl w:ilvl="6" w:tplc="6D1406BA">
      <w:numFmt w:val="bullet"/>
      <w:lvlText w:val="•"/>
      <w:lvlJc w:val="left"/>
      <w:pPr>
        <w:ind w:left="5916" w:hanging="360"/>
      </w:pPr>
      <w:rPr>
        <w:rFonts w:hint="default"/>
      </w:rPr>
    </w:lvl>
    <w:lvl w:ilvl="7" w:tplc="4798E0D0">
      <w:numFmt w:val="bullet"/>
      <w:lvlText w:val="•"/>
      <w:lvlJc w:val="left"/>
      <w:pPr>
        <w:ind w:left="6904" w:hanging="360"/>
      </w:pPr>
      <w:rPr>
        <w:rFonts w:hint="default"/>
      </w:rPr>
    </w:lvl>
    <w:lvl w:ilvl="8" w:tplc="5084702C">
      <w:numFmt w:val="bullet"/>
      <w:lvlText w:val="•"/>
      <w:lvlJc w:val="left"/>
      <w:pPr>
        <w:ind w:left="7891" w:hanging="360"/>
      </w:pPr>
      <w:rPr>
        <w:rFonts w:hint="default"/>
      </w:rPr>
    </w:lvl>
  </w:abstractNum>
  <w:num w:numId="1">
    <w:abstractNumId w:val="5"/>
  </w:num>
  <w:num w:numId="2">
    <w:abstractNumId w:val="29"/>
  </w:num>
  <w:num w:numId="3">
    <w:abstractNumId w:val="9"/>
  </w:num>
  <w:num w:numId="4">
    <w:abstractNumId w:val="6"/>
  </w:num>
  <w:num w:numId="5">
    <w:abstractNumId w:val="34"/>
  </w:num>
  <w:num w:numId="6">
    <w:abstractNumId w:val="32"/>
  </w:num>
  <w:num w:numId="7">
    <w:abstractNumId w:val="18"/>
  </w:num>
  <w:num w:numId="8">
    <w:abstractNumId w:val="24"/>
  </w:num>
  <w:num w:numId="9">
    <w:abstractNumId w:val="36"/>
  </w:num>
  <w:num w:numId="10">
    <w:abstractNumId w:val="1"/>
  </w:num>
  <w:num w:numId="11">
    <w:abstractNumId w:val="37"/>
  </w:num>
  <w:num w:numId="12">
    <w:abstractNumId w:val="31"/>
  </w:num>
  <w:num w:numId="13">
    <w:abstractNumId w:val="25"/>
  </w:num>
  <w:num w:numId="14">
    <w:abstractNumId w:val="41"/>
  </w:num>
  <w:num w:numId="15">
    <w:abstractNumId w:val="28"/>
  </w:num>
  <w:num w:numId="16">
    <w:abstractNumId w:val="2"/>
  </w:num>
  <w:num w:numId="17">
    <w:abstractNumId w:val="3"/>
  </w:num>
  <w:num w:numId="18">
    <w:abstractNumId w:val="16"/>
  </w:num>
  <w:num w:numId="19">
    <w:abstractNumId w:val="10"/>
  </w:num>
  <w:num w:numId="20">
    <w:abstractNumId w:val="4"/>
  </w:num>
  <w:num w:numId="21">
    <w:abstractNumId w:val="22"/>
  </w:num>
  <w:num w:numId="22">
    <w:abstractNumId w:val="35"/>
  </w:num>
  <w:num w:numId="23">
    <w:abstractNumId w:val="8"/>
  </w:num>
  <w:num w:numId="24">
    <w:abstractNumId w:val="27"/>
  </w:num>
  <w:num w:numId="25">
    <w:abstractNumId w:val="20"/>
  </w:num>
  <w:num w:numId="26">
    <w:abstractNumId w:val="19"/>
  </w:num>
  <w:num w:numId="27">
    <w:abstractNumId w:val="12"/>
  </w:num>
  <w:num w:numId="28">
    <w:abstractNumId w:val="30"/>
  </w:num>
  <w:num w:numId="29">
    <w:abstractNumId w:val="26"/>
  </w:num>
  <w:num w:numId="30">
    <w:abstractNumId w:val="23"/>
  </w:num>
  <w:num w:numId="31">
    <w:abstractNumId w:val="38"/>
  </w:num>
  <w:num w:numId="32">
    <w:abstractNumId w:val="11"/>
  </w:num>
  <w:num w:numId="33">
    <w:abstractNumId w:val="14"/>
  </w:num>
  <w:num w:numId="34">
    <w:abstractNumId w:val="40"/>
  </w:num>
  <w:num w:numId="35">
    <w:abstractNumId w:val="13"/>
  </w:num>
  <w:num w:numId="36">
    <w:abstractNumId w:val="39"/>
  </w:num>
  <w:num w:numId="37">
    <w:abstractNumId w:val="21"/>
  </w:num>
  <w:num w:numId="38">
    <w:abstractNumId w:val="33"/>
  </w:num>
  <w:num w:numId="39">
    <w:abstractNumId w:val="7"/>
  </w:num>
  <w:num w:numId="40">
    <w:abstractNumId w:val="17"/>
  </w:num>
  <w:num w:numId="41">
    <w:abstractNumId w:val="0"/>
  </w:num>
  <w:num w:numId="42">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74"/>
    <w:rsid w:val="000110E2"/>
    <w:rsid w:val="000127BA"/>
    <w:rsid w:val="00020823"/>
    <w:rsid w:val="00025039"/>
    <w:rsid w:val="00041177"/>
    <w:rsid w:val="00045980"/>
    <w:rsid w:val="000513C1"/>
    <w:rsid w:val="0005162B"/>
    <w:rsid w:val="00060F8A"/>
    <w:rsid w:val="00070E76"/>
    <w:rsid w:val="000718F8"/>
    <w:rsid w:val="00080D6C"/>
    <w:rsid w:val="00080E9B"/>
    <w:rsid w:val="000816FF"/>
    <w:rsid w:val="000830A6"/>
    <w:rsid w:val="0008370C"/>
    <w:rsid w:val="00087B81"/>
    <w:rsid w:val="000B0EA9"/>
    <w:rsid w:val="000B674C"/>
    <w:rsid w:val="000C01B1"/>
    <w:rsid w:val="000C1FFC"/>
    <w:rsid w:val="000D0E08"/>
    <w:rsid w:val="000D7292"/>
    <w:rsid w:val="00103976"/>
    <w:rsid w:val="00107DE1"/>
    <w:rsid w:val="0011028F"/>
    <w:rsid w:val="00122213"/>
    <w:rsid w:val="0012553B"/>
    <w:rsid w:val="00132798"/>
    <w:rsid w:val="00136E94"/>
    <w:rsid w:val="0014215F"/>
    <w:rsid w:val="00143DF9"/>
    <w:rsid w:val="00153C92"/>
    <w:rsid w:val="00154945"/>
    <w:rsid w:val="00160CA8"/>
    <w:rsid w:val="00162059"/>
    <w:rsid w:val="0016403F"/>
    <w:rsid w:val="00174362"/>
    <w:rsid w:val="00174997"/>
    <w:rsid w:val="00181BFA"/>
    <w:rsid w:val="00190382"/>
    <w:rsid w:val="001908A8"/>
    <w:rsid w:val="00191979"/>
    <w:rsid w:val="001A06A8"/>
    <w:rsid w:val="001B18A5"/>
    <w:rsid w:val="001B5860"/>
    <w:rsid w:val="001C0C05"/>
    <w:rsid w:val="001C5A47"/>
    <w:rsid w:val="001C64B2"/>
    <w:rsid w:val="001D64A4"/>
    <w:rsid w:val="001F0B70"/>
    <w:rsid w:val="001F471C"/>
    <w:rsid w:val="001F64D2"/>
    <w:rsid w:val="00201E46"/>
    <w:rsid w:val="002021F0"/>
    <w:rsid w:val="00206493"/>
    <w:rsid w:val="0020695A"/>
    <w:rsid w:val="00217C9A"/>
    <w:rsid w:val="002241C1"/>
    <w:rsid w:val="0023061B"/>
    <w:rsid w:val="00235A41"/>
    <w:rsid w:val="00237970"/>
    <w:rsid w:val="002379E1"/>
    <w:rsid w:val="002451BF"/>
    <w:rsid w:val="002536CC"/>
    <w:rsid w:val="00253E22"/>
    <w:rsid w:val="0026146D"/>
    <w:rsid w:val="002936EB"/>
    <w:rsid w:val="00295EBA"/>
    <w:rsid w:val="002C1EEE"/>
    <w:rsid w:val="002D458D"/>
    <w:rsid w:val="002D50CC"/>
    <w:rsid w:val="002E6DEB"/>
    <w:rsid w:val="002F0D76"/>
    <w:rsid w:val="002F7A08"/>
    <w:rsid w:val="0030175D"/>
    <w:rsid w:val="00310520"/>
    <w:rsid w:val="003110AE"/>
    <w:rsid w:val="003140F6"/>
    <w:rsid w:val="003148C7"/>
    <w:rsid w:val="00315342"/>
    <w:rsid w:val="003174A7"/>
    <w:rsid w:val="00335783"/>
    <w:rsid w:val="00346FEE"/>
    <w:rsid w:val="00353D8E"/>
    <w:rsid w:val="00354D38"/>
    <w:rsid w:val="00362DDA"/>
    <w:rsid w:val="00381AB6"/>
    <w:rsid w:val="00392240"/>
    <w:rsid w:val="003B1A32"/>
    <w:rsid w:val="003B2970"/>
    <w:rsid w:val="003E0A5E"/>
    <w:rsid w:val="003E0BDA"/>
    <w:rsid w:val="003E1AEE"/>
    <w:rsid w:val="003E49B4"/>
    <w:rsid w:val="0041087D"/>
    <w:rsid w:val="00423ABD"/>
    <w:rsid w:val="0044480D"/>
    <w:rsid w:val="00445FEB"/>
    <w:rsid w:val="00451C9F"/>
    <w:rsid w:val="0045296F"/>
    <w:rsid w:val="00456416"/>
    <w:rsid w:val="00462F1E"/>
    <w:rsid w:val="00481ABC"/>
    <w:rsid w:val="00482BAD"/>
    <w:rsid w:val="004847AE"/>
    <w:rsid w:val="00484B3A"/>
    <w:rsid w:val="00487FAB"/>
    <w:rsid w:val="004948E7"/>
    <w:rsid w:val="0049791F"/>
    <w:rsid w:val="004A7982"/>
    <w:rsid w:val="004B102C"/>
    <w:rsid w:val="004C15B1"/>
    <w:rsid w:val="004C75CD"/>
    <w:rsid w:val="004D71F7"/>
    <w:rsid w:val="004E337D"/>
    <w:rsid w:val="004F17AA"/>
    <w:rsid w:val="004F4016"/>
    <w:rsid w:val="004F4750"/>
    <w:rsid w:val="004F50BA"/>
    <w:rsid w:val="004F5E35"/>
    <w:rsid w:val="005066DE"/>
    <w:rsid w:val="00511E21"/>
    <w:rsid w:val="005164B5"/>
    <w:rsid w:val="00530558"/>
    <w:rsid w:val="00545F82"/>
    <w:rsid w:val="00552FAE"/>
    <w:rsid w:val="00552FEC"/>
    <w:rsid w:val="005557B1"/>
    <w:rsid w:val="005666DE"/>
    <w:rsid w:val="00572931"/>
    <w:rsid w:val="0057517E"/>
    <w:rsid w:val="005868DD"/>
    <w:rsid w:val="005940FB"/>
    <w:rsid w:val="00596406"/>
    <w:rsid w:val="005A42F1"/>
    <w:rsid w:val="005B3C73"/>
    <w:rsid w:val="005B49BC"/>
    <w:rsid w:val="005C0CA1"/>
    <w:rsid w:val="005C362F"/>
    <w:rsid w:val="005E315D"/>
    <w:rsid w:val="005F4A4C"/>
    <w:rsid w:val="005F75A7"/>
    <w:rsid w:val="0060113F"/>
    <w:rsid w:val="006121E2"/>
    <w:rsid w:val="0061473C"/>
    <w:rsid w:val="00623382"/>
    <w:rsid w:val="00641833"/>
    <w:rsid w:val="00641A58"/>
    <w:rsid w:val="006450A0"/>
    <w:rsid w:val="00645C0E"/>
    <w:rsid w:val="00657B9D"/>
    <w:rsid w:val="00661301"/>
    <w:rsid w:val="00662F63"/>
    <w:rsid w:val="00665CD7"/>
    <w:rsid w:val="00665E91"/>
    <w:rsid w:val="00675672"/>
    <w:rsid w:val="00675D5C"/>
    <w:rsid w:val="006779F9"/>
    <w:rsid w:val="00680465"/>
    <w:rsid w:val="0068329A"/>
    <w:rsid w:val="006833D4"/>
    <w:rsid w:val="006868B4"/>
    <w:rsid w:val="006909D7"/>
    <w:rsid w:val="006A4230"/>
    <w:rsid w:val="006B6D39"/>
    <w:rsid w:val="006C4AF5"/>
    <w:rsid w:val="006D073F"/>
    <w:rsid w:val="006E728B"/>
    <w:rsid w:val="006F2CE9"/>
    <w:rsid w:val="006F79B6"/>
    <w:rsid w:val="00705A42"/>
    <w:rsid w:val="00707A1D"/>
    <w:rsid w:val="00710048"/>
    <w:rsid w:val="007102E5"/>
    <w:rsid w:val="00732E9B"/>
    <w:rsid w:val="007353B5"/>
    <w:rsid w:val="007500FA"/>
    <w:rsid w:val="007524AE"/>
    <w:rsid w:val="007620CC"/>
    <w:rsid w:val="007713B3"/>
    <w:rsid w:val="00787240"/>
    <w:rsid w:val="0079144A"/>
    <w:rsid w:val="0079252B"/>
    <w:rsid w:val="007935C5"/>
    <w:rsid w:val="0079731D"/>
    <w:rsid w:val="007A268B"/>
    <w:rsid w:val="007B3C92"/>
    <w:rsid w:val="007B403D"/>
    <w:rsid w:val="007B555B"/>
    <w:rsid w:val="007B6030"/>
    <w:rsid w:val="007C4343"/>
    <w:rsid w:val="007C4A2A"/>
    <w:rsid w:val="008013F9"/>
    <w:rsid w:val="00814B88"/>
    <w:rsid w:val="00816CD7"/>
    <w:rsid w:val="008503FC"/>
    <w:rsid w:val="0085534F"/>
    <w:rsid w:val="00890260"/>
    <w:rsid w:val="008925E6"/>
    <w:rsid w:val="008961E1"/>
    <w:rsid w:val="008A479D"/>
    <w:rsid w:val="008B47CF"/>
    <w:rsid w:val="008C0201"/>
    <w:rsid w:val="008C4A06"/>
    <w:rsid w:val="008C6E97"/>
    <w:rsid w:val="008D7EF6"/>
    <w:rsid w:val="008E0082"/>
    <w:rsid w:val="00903FC3"/>
    <w:rsid w:val="00905874"/>
    <w:rsid w:val="00905DC0"/>
    <w:rsid w:val="00907D3B"/>
    <w:rsid w:val="00910B94"/>
    <w:rsid w:val="0092191C"/>
    <w:rsid w:val="009237D3"/>
    <w:rsid w:val="00937048"/>
    <w:rsid w:val="0094178C"/>
    <w:rsid w:val="00944338"/>
    <w:rsid w:val="00953534"/>
    <w:rsid w:val="00961B15"/>
    <w:rsid w:val="00974B3D"/>
    <w:rsid w:val="00976BD5"/>
    <w:rsid w:val="00976BE6"/>
    <w:rsid w:val="00976E8C"/>
    <w:rsid w:val="00984D36"/>
    <w:rsid w:val="009A52FB"/>
    <w:rsid w:val="009A6B92"/>
    <w:rsid w:val="009A79AB"/>
    <w:rsid w:val="009B7BC4"/>
    <w:rsid w:val="009C078B"/>
    <w:rsid w:val="009D2B9E"/>
    <w:rsid w:val="009D449D"/>
    <w:rsid w:val="009E67BF"/>
    <w:rsid w:val="009F349D"/>
    <w:rsid w:val="009F69FF"/>
    <w:rsid w:val="00A17958"/>
    <w:rsid w:val="00A266B6"/>
    <w:rsid w:val="00A32127"/>
    <w:rsid w:val="00A34BF9"/>
    <w:rsid w:val="00A555C0"/>
    <w:rsid w:val="00A6142A"/>
    <w:rsid w:val="00A61F9D"/>
    <w:rsid w:val="00A65C2D"/>
    <w:rsid w:val="00A66F37"/>
    <w:rsid w:val="00A70925"/>
    <w:rsid w:val="00A75CBA"/>
    <w:rsid w:val="00A923F6"/>
    <w:rsid w:val="00A9436D"/>
    <w:rsid w:val="00A97817"/>
    <w:rsid w:val="00AA0957"/>
    <w:rsid w:val="00AA4BAA"/>
    <w:rsid w:val="00AA5344"/>
    <w:rsid w:val="00AA59A4"/>
    <w:rsid w:val="00AB5574"/>
    <w:rsid w:val="00AC6CD1"/>
    <w:rsid w:val="00AC7F77"/>
    <w:rsid w:val="00AD06CF"/>
    <w:rsid w:val="00AD34DA"/>
    <w:rsid w:val="00AE3A76"/>
    <w:rsid w:val="00AE71DA"/>
    <w:rsid w:val="00AF3B9D"/>
    <w:rsid w:val="00B0073A"/>
    <w:rsid w:val="00B046A0"/>
    <w:rsid w:val="00B05A88"/>
    <w:rsid w:val="00B236C0"/>
    <w:rsid w:val="00B23E1E"/>
    <w:rsid w:val="00B244C2"/>
    <w:rsid w:val="00B35BF7"/>
    <w:rsid w:val="00B42DE8"/>
    <w:rsid w:val="00B51A8E"/>
    <w:rsid w:val="00B65456"/>
    <w:rsid w:val="00B746A7"/>
    <w:rsid w:val="00B771EC"/>
    <w:rsid w:val="00B8796E"/>
    <w:rsid w:val="00B93FD7"/>
    <w:rsid w:val="00B95D21"/>
    <w:rsid w:val="00BA1939"/>
    <w:rsid w:val="00BA3658"/>
    <w:rsid w:val="00BB017C"/>
    <w:rsid w:val="00BB08BC"/>
    <w:rsid w:val="00BB60E4"/>
    <w:rsid w:val="00BC2A95"/>
    <w:rsid w:val="00BD3813"/>
    <w:rsid w:val="00BE02A0"/>
    <w:rsid w:val="00BF0E39"/>
    <w:rsid w:val="00BF2EF3"/>
    <w:rsid w:val="00BF4E06"/>
    <w:rsid w:val="00BF5A5B"/>
    <w:rsid w:val="00BF660B"/>
    <w:rsid w:val="00BF7D27"/>
    <w:rsid w:val="00C20BAB"/>
    <w:rsid w:val="00C25A10"/>
    <w:rsid w:val="00C34C73"/>
    <w:rsid w:val="00C407C0"/>
    <w:rsid w:val="00C42528"/>
    <w:rsid w:val="00C46E46"/>
    <w:rsid w:val="00C647E8"/>
    <w:rsid w:val="00C72956"/>
    <w:rsid w:val="00C73FE8"/>
    <w:rsid w:val="00C81932"/>
    <w:rsid w:val="00C83BFE"/>
    <w:rsid w:val="00C84764"/>
    <w:rsid w:val="00CA4D11"/>
    <w:rsid w:val="00CA71BA"/>
    <w:rsid w:val="00CB5F52"/>
    <w:rsid w:val="00CC35BE"/>
    <w:rsid w:val="00CD30C0"/>
    <w:rsid w:val="00CE6CEE"/>
    <w:rsid w:val="00CF0406"/>
    <w:rsid w:val="00D0017E"/>
    <w:rsid w:val="00D0101F"/>
    <w:rsid w:val="00D03C6C"/>
    <w:rsid w:val="00D0428D"/>
    <w:rsid w:val="00D16E69"/>
    <w:rsid w:val="00D22238"/>
    <w:rsid w:val="00D256D7"/>
    <w:rsid w:val="00D3473F"/>
    <w:rsid w:val="00D43019"/>
    <w:rsid w:val="00D635FC"/>
    <w:rsid w:val="00D66786"/>
    <w:rsid w:val="00D67CF3"/>
    <w:rsid w:val="00D910AD"/>
    <w:rsid w:val="00D93A22"/>
    <w:rsid w:val="00D940A9"/>
    <w:rsid w:val="00DA6B12"/>
    <w:rsid w:val="00DA7C1A"/>
    <w:rsid w:val="00DE0232"/>
    <w:rsid w:val="00DE2AF7"/>
    <w:rsid w:val="00DE50C8"/>
    <w:rsid w:val="00DF7D51"/>
    <w:rsid w:val="00E07A24"/>
    <w:rsid w:val="00E10859"/>
    <w:rsid w:val="00E2262C"/>
    <w:rsid w:val="00E40527"/>
    <w:rsid w:val="00E43968"/>
    <w:rsid w:val="00E472D8"/>
    <w:rsid w:val="00E501CE"/>
    <w:rsid w:val="00E54FA1"/>
    <w:rsid w:val="00E57BC7"/>
    <w:rsid w:val="00E75C2F"/>
    <w:rsid w:val="00E770F7"/>
    <w:rsid w:val="00E77AC0"/>
    <w:rsid w:val="00E857AF"/>
    <w:rsid w:val="00E909F6"/>
    <w:rsid w:val="00E91A82"/>
    <w:rsid w:val="00EA2D7D"/>
    <w:rsid w:val="00EC1606"/>
    <w:rsid w:val="00EC3CE0"/>
    <w:rsid w:val="00EC71C4"/>
    <w:rsid w:val="00EC76FF"/>
    <w:rsid w:val="00ED0728"/>
    <w:rsid w:val="00EE0708"/>
    <w:rsid w:val="00EE421B"/>
    <w:rsid w:val="00EF315F"/>
    <w:rsid w:val="00EF4280"/>
    <w:rsid w:val="00EF57C3"/>
    <w:rsid w:val="00F11E57"/>
    <w:rsid w:val="00F27B84"/>
    <w:rsid w:val="00F30B48"/>
    <w:rsid w:val="00F30FCF"/>
    <w:rsid w:val="00F338A0"/>
    <w:rsid w:val="00F367AA"/>
    <w:rsid w:val="00F4433E"/>
    <w:rsid w:val="00F4593A"/>
    <w:rsid w:val="00F4799B"/>
    <w:rsid w:val="00F512E9"/>
    <w:rsid w:val="00F52E13"/>
    <w:rsid w:val="00F56013"/>
    <w:rsid w:val="00F56B76"/>
    <w:rsid w:val="00F637A6"/>
    <w:rsid w:val="00F63D17"/>
    <w:rsid w:val="00F64FEA"/>
    <w:rsid w:val="00F7064B"/>
    <w:rsid w:val="00F75A48"/>
    <w:rsid w:val="00F76DE6"/>
    <w:rsid w:val="00F829A1"/>
    <w:rsid w:val="00F83FCE"/>
    <w:rsid w:val="00F900C0"/>
    <w:rsid w:val="00F9652F"/>
    <w:rsid w:val="00F9718A"/>
    <w:rsid w:val="00FA02B1"/>
    <w:rsid w:val="00FA136D"/>
    <w:rsid w:val="00FB54CE"/>
    <w:rsid w:val="00FB67C8"/>
    <w:rsid w:val="00FC13CC"/>
    <w:rsid w:val="00FC3C23"/>
    <w:rsid w:val="00FC6E98"/>
    <w:rsid w:val="00FD295F"/>
    <w:rsid w:val="00FD2CF0"/>
    <w:rsid w:val="00FD337F"/>
    <w:rsid w:val="00FE2F97"/>
    <w:rsid w:val="00FE34FE"/>
    <w:rsid w:val="00FF2766"/>
    <w:rsid w:val="00FF3041"/>
    <w:rsid w:val="00FF6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BDAD78"/>
  <w15:docId w15:val="{8B547DAD-5191-4007-9607-591CEC11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01"/>
      <w:ind w:left="692" w:hanging="432"/>
      <w:outlineLvl w:val="0"/>
    </w:pPr>
    <w:rPr>
      <w:rFonts w:ascii="Lucida Sans Unicode" w:eastAsia="Lucida Sans Unicode" w:hAnsi="Lucida Sans Unicode" w:cs="Lucida Sans Unicode"/>
      <w:b/>
      <w:bCs/>
      <w:sz w:val="28"/>
      <w:szCs w:val="28"/>
    </w:rPr>
  </w:style>
  <w:style w:type="paragraph" w:styleId="Heading2">
    <w:name w:val="heading 2"/>
    <w:basedOn w:val="Normal"/>
    <w:uiPriority w:val="1"/>
    <w:qFormat/>
    <w:pPr>
      <w:ind w:left="2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99" w:hanging="439"/>
    </w:pPr>
    <w:rPr>
      <w:rFonts w:ascii="Lucida Sans Unicode" w:eastAsia="Lucida Sans Unicode" w:hAnsi="Lucida Sans Unicode" w:cs="Lucida Sans Unicode"/>
    </w:rPr>
  </w:style>
  <w:style w:type="paragraph" w:styleId="TOC2">
    <w:name w:val="toc 2"/>
    <w:basedOn w:val="Normal"/>
    <w:uiPriority w:val="39"/>
    <w:qFormat/>
    <w:pPr>
      <w:spacing w:before="114"/>
      <w:ind w:left="1112" w:hanging="612"/>
    </w:pPr>
    <w:rPr>
      <w:rFonts w:ascii="Lucida Sans Unicode" w:eastAsia="Lucida Sans Unicode" w:hAnsi="Lucida Sans Unicode" w:cs="Lucida Sans Unicode"/>
      <w:sz w:val="20"/>
      <w:szCs w:val="20"/>
    </w:rPr>
  </w:style>
  <w:style w:type="paragraph" w:styleId="BodyText">
    <w:name w:val="Body Text"/>
    <w:basedOn w:val="Normal"/>
    <w:uiPriority w:val="1"/>
    <w:qFormat/>
    <w:pPr>
      <w:ind w:hanging="360"/>
    </w:p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pPr>
      <w:ind w:left="107"/>
    </w:pPr>
  </w:style>
  <w:style w:type="paragraph" w:styleId="FootnoteText">
    <w:name w:val="footnote text"/>
    <w:basedOn w:val="Normal"/>
    <w:link w:val="FootnoteTextChar"/>
    <w:uiPriority w:val="99"/>
    <w:unhideWhenUsed/>
    <w:rsid w:val="00976BE6"/>
    <w:rPr>
      <w:sz w:val="24"/>
      <w:szCs w:val="24"/>
    </w:rPr>
  </w:style>
  <w:style w:type="character" w:customStyle="1" w:styleId="FootnoteTextChar">
    <w:name w:val="Footnote Text Char"/>
    <w:basedOn w:val="DefaultParagraphFont"/>
    <w:link w:val="FootnoteText"/>
    <w:uiPriority w:val="99"/>
    <w:rsid w:val="00976BE6"/>
    <w:rPr>
      <w:rFonts w:ascii="Calibri" w:eastAsia="Calibri" w:hAnsi="Calibri" w:cs="Calibri"/>
      <w:sz w:val="24"/>
      <w:szCs w:val="24"/>
    </w:rPr>
  </w:style>
  <w:style w:type="character" w:styleId="FootnoteReference">
    <w:name w:val="footnote reference"/>
    <w:basedOn w:val="DefaultParagraphFont"/>
    <w:uiPriority w:val="99"/>
    <w:unhideWhenUsed/>
    <w:rsid w:val="00976BE6"/>
    <w:rPr>
      <w:vertAlign w:val="superscript"/>
    </w:rPr>
  </w:style>
  <w:style w:type="paragraph" w:styleId="BalloonText">
    <w:name w:val="Balloon Text"/>
    <w:basedOn w:val="Normal"/>
    <w:link w:val="BalloonTextChar"/>
    <w:uiPriority w:val="99"/>
    <w:semiHidden/>
    <w:unhideWhenUsed/>
    <w:rsid w:val="00675672"/>
    <w:rPr>
      <w:rFonts w:ascii="Tahoma" w:hAnsi="Tahoma" w:cs="Tahoma"/>
      <w:sz w:val="16"/>
      <w:szCs w:val="16"/>
    </w:rPr>
  </w:style>
  <w:style w:type="character" w:customStyle="1" w:styleId="BalloonTextChar">
    <w:name w:val="Balloon Text Char"/>
    <w:basedOn w:val="DefaultParagraphFont"/>
    <w:link w:val="BalloonText"/>
    <w:uiPriority w:val="99"/>
    <w:semiHidden/>
    <w:rsid w:val="00675672"/>
    <w:rPr>
      <w:rFonts w:ascii="Tahoma" w:eastAsia="Calibri" w:hAnsi="Tahoma" w:cs="Tahoma"/>
      <w:sz w:val="16"/>
      <w:szCs w:val="16"/>
    </w:rPr>
  </w:style>
  <w:style w:type="paragraph" w:styleId="Header">
    <w:name w:val="header"/>
    <w:basedOn w:val="Normal"/>
    <w:link w:val="HeaderChar"/>
    <w:uiPriority w:val="99"/>
    <w:unhideWhenUsed/>
    <w:rsid w:val="00C84764"/>
    <w:pPr>
      <w:tabs>
        <w:tab w:val="center" w:pos="4320"/>
        <w:tab w:val="right" w:pos="8640"/>
      </w:tabs>
    </w:pPr>
  </w:style>
  <w:style w:type="character" w:customStyle="1" w:styleId="HeaderChar">
    <w:name w:val="Header Char"/>
    <w:basedOn w:val="DefaultParagraphFont"/>
    <w:link w:val="Header"/>
    <w:uiPriority w:val="99"/>
    <w:rsid w:val="00C84764"/>
    <w:rPr>
      <w:rFonts w:ascii="Calibri" w:eastAsia="Calibri" w:hAnsi="Calibri" w:cs="Calibri"/>
    </w:rPr>
  </w:style>
  <w:style w:type="paragraph" w:styleId="Footer">
    <w:name w:val="footer"/>
    <w:basedOn w:val="Normal"/>
    <w:link w:val="FooterChar"/>
    <w:uiPriority w:val="99"/>
    <w:unhideWhenUsed/>
    <w:rsid w:val="00C84764"/>
    <w:pPr>
      <w:tabs>
        <w:tab w:val="center" w:pos="4320"/>
        <w:tab w:val="right" w:pos="8640"/>
      </w:tabs>
    </w:pPr>
  </w:style>
  <w:style w:type="character" w:customStyle="1" w:styleId="FooterChar">
    <w:name w:val="Footer Char"/>
    <w:basedOn w:val="DefaultParagraphFont"/>
    <w:link w:val="Footer"/>
    <w:uiPriority w:val="99"/>
    <w:rsid w:val="00C84764"/>
    <w:rPr>
      <w:rFonts w:ascii="Calibri" w:eastAsia="Calibri" w:hAnsi="Calibri" w:cs="Calibri"/>
    </w:rPr>
  </w:style>
  <w:style w:type="paragraph" w:styleId="ListBullet">
    <w:name w:val="List Bullet"/>
    <w:basedOn w:val="Normal"/>
    <w:autoRedefine/>
    <w:rsid w:val="002451BF"/>
    <w:pPr>
      <w:widowControl/>
      <w:tabs>
        <w:tab w:val="left" w:pos="2982"/>
      </w:tabs>
      <w:autoSpaceDE/>
      <w:autoSpaceDN/>
      <w:spacing w:before="240" w:line="300" w:lineRule="exact"/>
      <w:jc w:val="both"/>
    </w:pPr>
    <w:rPr>
      <w:rFonts w:ascii="Arial" w:eastAsia="Times New Roman" w:hAnsi="Arial" w:cs="Arial-BoldMT"/>
      <w:b/>
      <w:bCs/>
      <w:color w:val="000000"/>
      <w:sz w:val="20"/>
      <w:szCs w:val="24"/>
      <w:lang w:val="en-GB" w:bidi="en-US"/>
    </w:rPr>
  </w:style>
  <w:style w:type="character" w:styleId="Hyperlink">
    <w:name w:val="Hyperlink"/>
    <w:basedOn w:val="DefaultParagraphFont"/>
    <w:uiPriority w:val="99"/>
    <w:unhideWhenUsed/>
    <w:rsid w:val="00CB5F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43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oecd.org/tax/automatic-exchange/common-reporting-standard/common-reporting-standard-and-related-commentari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of.gov.ae/" TargetMode="External"/><Relationship Id="rId17" Type="http://schemas.openxmlformats.org/officeDocument/2006/relationships/hyperlink" Target="http://www.oecd.org/ctp/exchange-of-tax-information/standard-for-automatic-exchange-of-financial-account-information-for-tax-matters-9789264216525-en.htm" TargetMode="External"/><Relationship Id="rId2" Type="http://schemas.openxmlformats.org/officeDocument/2006/relationships/customXml" Target="../customXml/item2.xml"/><Relationship Id="rId16" Type="http://schemas.openxmlformats.org/officeDocument/2006/relationships/hyperlink" Target="http://www.oecd.org/tax/automatic-exchange/international-framework-for-the-cr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oecd.org/tax/automatic-exchange/international-framework-for-the-crs/" TargetMode="External"/><Relationship Id="rId10" Type="http://schemas.openxmlformats.org/officeDocument/2006/relationships/endnotes" Target="endnotes.xml"/><Relationship Id="rId19" Type="http://schemas.openxmlformats.org/officeDocument/2006/relationships/hyperlink" Target="http://www.oecd.org/tax/automatic-exchange/common-reporting-standard/schema-and-user-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tax/automatic-exchange/common-reporting-standard/common-reporting-standard-and-related-commentari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ecd.org/tax/automatic-exchange/common-reporting-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B0CA-1F5F-4BCF-9361-0527B73860FD}">
  <ds:schemaRefs>
    <ds:schemaRef ds:uri="http://schemas.openxmlformats.org/officeDocument/2006/bibliography"/>
  </ds:schemaRefs>
</ds:datastoreItem>
</file>

<file path=customXml/itemProps2.xml><?xml version="1.0" encoding="utf-8"?>
<ds:datastoreItem xmlns:ds="http://schemas.openxmlformats.org/officeDocument/2006/customXml" ds:itemID="{9C01D75A-E796-4488-A5E4-1181C38E9F15}">
  <ds:schemaRefs>
    <ds:schemaRef ds:uri="http://schemas.openxmlformats.org/officeDocument/2006/bibliography"/>
  </ds:schemaRefs>
</ds:datastoreItem>
</file>

<file path=customXml/itemProps3.xml><?xml version="1.0" encoding="utf-8"?>
<ds:datastoreItem xmlns:ds="http://schemas.openxmlformats.org/officeDocument/2006/customXml" ds:itemID="{0E6C1C8C-20FC-48CC-B955-133D783FB1E0}">
  <ds:schemaRefs>
    <ds:schemaRef ds:uri="http://schemas.openxmlformats.org/officeDocument/2006/bibliography"/>
  </ds:schemaRefs>
</ds:datastoreItem>
</file>

<file path=customXml/itemProps4.xml><?xml version="1.0" encoding="utf-8"?>
<ds:datastoreItem xmlns:ds="http://schemas.openxmlformats.org/officeDocument/2006/customXml" ds:itemID="{5203962A-F1CC-4C5A-B611-C71A44A3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14111</Words>
  <Characters>80434</Characters>
  <Application>Microsoft Office Word</Application>
  <DocSecurity>4</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james.joseph</dc:creator>
  <cp:keywords/>
  <dc:description/>
  <cp:lastModifiedBy>Giuditta Serci</cp:lastModifiedBy>
  <cp:revision>2</cp:revision>
  <dcterms:created xsi:type="dcterms:W3CDTF">2020-07-29T06:23:00Z</dcterms:created>
  <dcterms:modified xsi:type="dcterms:W3CDTF">2020-07-29T06:23:00Z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2016-12-25T20:00:00Z</vt:filetime>
  </property>
  <property fmtid="{D5CDD505-2E9C-101B-9397-08002B2CF9AE}" pid="3" name="Creator">
    <vt:lpwstr>Microsoft® Word 2013</vt:lpwstr>
  </property>
  <property fmtid="{D5CDD505-2E9C-101B-9397-08002B2CF9AE}" pid="4" name="LastSaved">
    <vt:filetime>2019-11-11T20:00:00Z</vt:filetime>
  </property>
</Properties>
</file>