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181" w:rsidRPr="00106181" w:rsidRDefault="00106181" w:rsidP="00106181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Times New Roman"/>
          <w:color w:val="333333"/>
          <w:sz w:val="32"/>
          <w:szCs w:val="32"/>
        </w:rPr>
      </w:pPr>
      <w:r w:rsidRPr="00106181">
        <w:rPr>
          <w:rFonts w:ascii="Arial" w:eastAsia="Times New Roman" w:hAnsi="Arial" w:cs="Times New Roman"/>
          <w:color w:val="333333"/>
          <w:sz w:val="24"/>
          <w:szCs w:val="24"/>
          <w:lang w:val="id-ID"/>
        </w:rPr>
        <w:t>Susunlah daftar pustaka dari sumber pustaka berikut ini.</w:t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a.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Judul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Buku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Change Leadership Non-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Finito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Penulis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Rhenald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Kasali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Penerbit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Mizan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, Jakarta</w:t>
      </w: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br/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Tahun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2015</w:t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 b.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Judul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Buku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    Adversity Quotient: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Mengubah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Hambatan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Menjadi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Peluang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Penulis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Paul G. Stoltz</w:t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Penerjemah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    T.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Hermaya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Penerbit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Grasindo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, Jakarta</w:t>
      </w: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br/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Tahun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1997</w:t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 c.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Judul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Artikel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Sekolah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Gratis di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Teras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Rumah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Judul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Buku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Intisari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Ekstra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Penulis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    M.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Sholekhudin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Penerbit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Intisari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, Jakarta</w:t>
      </w: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br/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Tahun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2010</w:t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 d.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Judul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Artikel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Mengubah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Tangisan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Menjadi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Tulisan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Penulis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Bambang Trim</w:t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Tanggal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Publikasi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     2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Februari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2019</w:t>
      </w:r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Media           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Kompasiana</w:t>
      </w:r>
      <w:proofErr w:type="spellEnd"/>
    </w:p>
    <w:p w:rsidR="00106181" w:rsidRPr="00106181" w:rsidRDefault="00106181" w:rsidP="00106181">
      <w:pPr>
        <w:shd w:val="clear" w:color="auto" w:fill="EEEEEE"/>
        <w:spacing w:before="300" w:after="225" w:line="240" w:lineRule="auto"/>
        <w:rPr>
          <w:rFonts w:ascii="Arial" w:eastAsia="Times New Roman" w:hAnsi="Arial" w:cs="Times New Roman"/>
          <w:color w:val="333333"/>
          <w:sz w:val="32"/>
          <w:szCs w:val="32"/>
        </w:rPr>
      </w:pPr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e. </w:t>
      </w:r>
      <w:proofErr w:type="spell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Tautan</w:t>
      </w:r>
      <w:proofErr w:type="spell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          </w:t>
      </w:r>
      <w:proofErr w:type="gramStart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>  :</w:t>
      </w:r>
      <w:proofErr w:type="gramEnd"/>
      <w:r w:rsidRPr="00106181">
        <w:rPr>
          <w:rFonts w:ascii="Arial" w:eastAsia="Times New Roman" w:hAnsi="Arial" w:cs="Times New Roman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:rsidR="00106181" w:rsidRDefault="00106181">
      <w:r>
        <w:lastRenderedPageBreak/>
        <w:t>a.</w:t>
      </w:r>
      <w:proofErr w:type="gramStart"/>
      <w:r>
        <w:t xml:space="preserve">  </w:t>
      </w:r>
      <w:proofErr w:type="spellStart"/>
      <w:proofErr w:type="gramEnd"/>
      <w:r>
        <w:t>Rhenald</w:t>
      </w:r>
      <w:proofErr w:type="spellEnd"/>
      <w:r>
        <w:t xml:space="preserve"> </w:t>
      </w:r>
      <w:proofErr w:type="spellStart"/>
      <w:r>
        <w:t>Kasalt</w:t>
      </w:r>
      <w:proofErr w:type="spellEnd"/>
      <w:r>
        <w:t xml:space="preserve">. 2015. </w:t>
      </w:r>
      <w:r>
        <w:rPr>
          <w:i/>
        </w:rPr>
        <w:t xml:space="preserve">Change Leadership Non </w:t>
      </w:r>
      <w:proofErr w:type="spellStart"/>
      <w:r>
        <w:rPr>
          <w:i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  <w:r>
        <w:t>.</w:t>
      </w:r>
    </w:p>
    <w:p w:rsidR="00106181" w:rsidRDefault="00106181">
      <w:r>
        <w:t xml:space="preserve">b. </w:t>
      </w:r>
      <w:proofErr w:type="spellStart"/>
      <w:r>
        <w:t>Soultz</w:t>
      </w:r>
      <w:proofErr w:type="spellEnd"/>
      <w:r>
        <w:t xml:space="preserve">, Paul G. 1997. </w:t>
      </w:r>
      <w:r>
        <w:rPr>
          <w:i/>
        </w:rPr>
        <w:t xml:space="preserve">Adversity </w:t>
      </w:r>
      <w:proofErr w:type="spellStart"/>
      <w:r>
        <w:rPr>
          <w:i/>
        </w:rPr>
        <w:t>Quetient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Mengubah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Hambatan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Peluang</w:t>
      </w:r>
      <w:proofErr w:type="spellEnd"/>
      <w:r>
        <w:rPr>
          <w:i/>
        </w:rPr>
        <w:t xml:space="preserve">. </w:t>
      </w:r>
      <w:r>
        <w:t xml:space="preserve">Jakarta: </w:t>
      </w:r>
      <w:proofErr w:type="spellStart"/>
      <w:r>
        <w:t>Grasindo</w:t>
      </w:r>
      <w:proofErr w:type="spellEnd"/>
      <w:r>
        <w:t>.</w:t>
      </w:r>
    </w:p>
    <w:p w:rsidR="00106181" w:rsidRDefault="00106181">
      <w:r>
        <w:t xml:space="preserve">c. </w:t>
      </w:r>
      <w:proofErr w:type="spellStart"/>
      <w:r>
        <w:t>Solekhuddin</w:t>
      </w:r>
      <w:proofErr w:type="spellEnd"/>
      <w:r>
        <w:t>, M. 2010. “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”. Jakarta: </w:t>
      </w:r>
      <w:proofErr w:type="spellStart"/>
      <w:r>
        <w:t>Intisa</w:t>
      </w:r>
      <w:r w:rsidR="00700582">
        <w:t>ri</w:t>
      </w:r>
      <w:proofErr w:type="spellEnd"/>
      <w:r w:rsidR="00700582">
        <w:t>.</w:t>
      </w:r>
    </w:p>
    <w:p w:rsidR="00700582" w:rsidRPr="00106181" w:rsidRDefault="00700582">
      <w:r>
        <w:t xml:space="preserve">d. Trim, Bambang. </w:t>
      </w:r>
      <w:bookmarkStart w:id="0" w:name="_GoBack"/>
      <w:bookmarkEnd w:id="0"/>
    </w:p>
    <w:sectPr w:rsidR="00700582" w:rsidRPr="0010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81"/>
    <w:rsid w:val="00106181"/>
    <w:rsid w:val="007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9889"/>
  <w15:chartTrackingRefBased/>
  <w15:docId w15:val="{B4EB0DA9-322B-475D-849F-B6E58BCB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2021-02-22T05:11:00Z</dcterms:created>
  <dcterms:modified xsi:type="dcterms:W3CDTF">2021-02-22T05:23:00Z</dcterms:modified>
</cp:coreProperties>
</file>