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  <w:sectPr>
          <w:footerReference r:id="rId3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Agamis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Akte → 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Aktifitas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Amandemen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Azas → __________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asas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Cabe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cabai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>
      <w:pPr>
        <w:pStyle w:val="5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capek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>
      <w:pPr>
        <w:pStyle w:val="5"/>
        <w:ind w:left="567" w:right="184" w:hanging="425"/>
        <w:rPr>
          <w:color w:val="auto"/>
        </w:rPr>
      </w:pP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Deviden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deviden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Ekstrim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ekstrim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esai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glamour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Hakekat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Hembus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Hutang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Idul Fitri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Mesjid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masjid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Ajektif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adjektif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absorsi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almari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andal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Apotik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apotek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Indera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indera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elit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Jaman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zaman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Karir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karir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Lembab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Merubah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Orisinil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Rejeki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rezeki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Silahkan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Standard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Supir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Teoritis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Terlanjur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surga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faham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>
      <w:pPr>
        <w:pStyle w:val="5"/>
        <w:spacing w:after="242"/>
        <w:ind w:left="142"/>
        <w:rPr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Saklar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saklar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syaraf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urin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Sorban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sorban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>
      <w:pPr>
        <w:pStyle w:val="5"/>
        <w:numPr>
          <w:ilvl w:val="0"/>
          <w:numId w:val="2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Walikota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walikota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sectPr>
      <w:type w:val="continuous"/>
      <w:pgSz w:w="11907" w:h="16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72122"/>
    <w:multiLevelType w:val="multilevel"/>
    <w:tmpl w:val="1EA72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multilevel"/>
    <w:tmpl w:val="207270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53C2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2126</Characters>
  <Lines>17</Lines>
  <Paragraphs>4</Paragraphs>
  <TotalTime>52</TotalTime>
  <ScaleCrop>false</ScaleCrop>
  <LinksUpToDate>false</LinksUpToDate>
  <CharactersWithSpaces>2494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2020-07-24T22:55:00Z</dcterms:created>
  <dc:creator>Epic_Epik</dc:creator>
  <cp:lastModifiedBy>ASUS</cp:lastModifiedBy>
  <dcterms:modified xsi:type="dcterms:W3CDTF">2021-04-28T07:15:13Z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