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0FD3"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8980292" w14:textId="77777777" w:rsidR="00924DF5" w:rsidRDefault="00F1406B" w:rsidP="00F1406B">
      <w:pPr>
        <w:jc w:val="center"/>
      </w:pPr>
      <w:r w:rsidRPr="00125355">
        <w:rPr>
          <w:rFonts w:ascii="Minion Pro" w:hAnsi="Minion Pro"/>
          <w:b/>
          <w:sz w:val="36"/>
          <w:szCs w:val="36"/>
        </w:rPr>
        <w:t>SKEMA PENULISAN BUKU NONFIKSI</w:t>
      </w:r>
    </w:p>
    <w:p w14:paraId="3AA76AB0" w14:textId="77777777" w:rsidR="00F1406B" w:rsidRDefault="00F1406B"/>
    <w:p w14:paraId="43B4BF00" w14:textId="77777777" w:rsidR="00F1406B" w:rsidRDefault="00F1406B"/>
    <w:p w14:paraId="08102D68"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FAAB06A" w14:textId="77777777" w:rsidR="00F1406B" w:rsidRPr="00F1406B" w:rsidRDefault="00F1406B" w:rsidP="00F1406B">
      <w:pPr>
        <w:rPr>
          <w:rFonts w:ascii="Minion Pro" w:eastAsia="Times New Roman" w:hAnsi="Minion Pro"/>
        </w:rPr>
      </w:pPr>
    </w:p>
    <w:p w14:paraId="023ED736"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3FD2DA1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17060D1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5E30D63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296D1E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F0031B0" w14:textId="77777777" w:rsidR="00F1406B" w:rsidRDefault="00F1406B"/>
    <w:p w14:paraId="057EF672" w14:textId="77777777" w:rsidR="00F1406B" w:rsidRDefault="00F1406B"/>
    <w:p w14:paraId="72C12E28" w14:textId="77777777" w:rsidR="00F1406B" w:rsidRDefault="00F1406B"/>
    <w:p w14:paraId="78149DF4" w14:textId="77777777" w:rsidR="00F1406B" w:rsidRDefault="00F1406B"/>
    <w:p w14:paraId="49FC895C" w14:textId="02AAD865" w:rsidR="00F1406B" w:rsidRDefault="00387299">
      <w:r>
        <w:t>PRAKATA</w:t>
      </w:r>
    </w:p>
    <w:p w14:paraId="782E61AA" w14:textId="77777777" w:rsidR="00F1406B" w:rsidRDefault="00F1406B"/>
    <w:p w14:paraId="0634E9F6" w14:textId="7CAA2981" w:rsidR="00387299" w:rsidRDefault="00387299" w:rsidP="00387299">
      <w:pPr>
        <w:spacing w:before="100" w:beforeAutospacing="1" w:after="100" w:afterAutospacing="1"/>
        <w:ind w:firstLine="540"/>
        <w:jc w:val="both"/>
        <w:rPr>
          <w:rFonts w:ascii="Minion Pro" w:hAnsi="Minion Pro" w:cs="Arial"/>
        </w:rPr>
      </w:pPr>
      <w:r>
        <w:t>Naskah ini memaparkan tentang “</w:t>
      </w:r>
      <w:r w:rsidRPr="00F1406B">
        <w:rPr>
          <w:rFonts w:ascii="Minion Pro" w:hAnsi="Minion Pro" w:cs="Arial"/>
        </w:rPr>
        <w:t>Jurus Jitu Mengajar Daring &amp; Luring di Perguruan Tinggi</w:t>
      </w:r>
      <w:r>
        <w:rPr>
          <w:rFonts w:ascii="Minion Pro" w:hAnsi="Minion Pro" w:cs="Arial"/>
        </w:rPr>
        <w:t>”. Naskah ini disusun untuk para praktisi di perguruan tinggi yang di masa pandemi ini melakukan pembelajaran daring dan luring. Naskah ini penting untuk memberikan pandangan untuk menumbuhkan gagasan bagi para pembaca dalam merancang pembelajaran daring dan pembelajaran luring.</w:t>
      </w:r>
    </w:p>
    <w:p w14:paraId="2ACECFF3" w14:textId="060884D7" w:rsidR="00387299" w:rsidRDefault="00387299" w:rsidP="00387299">
      <w:pPr>
        <w:spacing w:before="100" w:beforeAutospacing="1" w:after="100" w:afterAutospacing="1"/>
        <w:ind w:firstLine="540"/>
        <w:jc w:val="both"/>
        <w:rPr>
          <w:rFonts w:ascii="Minion Pro" w:hAnsi="Minion Pro" w:cs="Arial"/>
        </w:rPr>
      </w:pPr>
      <w:r>
        <w:rPr>
          <w:rFonts w:ascii="Minion Pro" w:hAnsi="Minion Pro" w:cs="Arial"/>
        </w:rPr>
        <w:t>Para pembaca akan diberikan gambaran tentang pelaksanaan pembelajaran daring dan pembelajaran luring, perbandingan keduanya dan kajian kelemahan serta keunggulan masing-masingnya. Perbandingan pembelajaran daring dan luring memaparkan dari sesi pembelajar dan sesi pengajarnya. Pembaca akan mendapatkan informasi perbedaan perancangan dan pelaksanan pembelajaran luring dengan pembelajaran daring. Naskah juga menyajikan ilustrasi pelaksanaan pembelajaran di masing-masing model ini.</w:t>
      </w:r>
    </w:p>
    <w:p w14:paraId="1C486F2A" w14:textId="5F04A78D" w:rsidR="00387299" w:rsidRDefault="00387299" w:rsidP="00387299">
      <w:pPr>
        <w:spacing w:before="100" w:beforeAutospacing="1" w:after="100" w:afterAutospacing="1"/>
        <w:ind w:firstLine="540"/>
        <w:jc w:val="both"/>
        <w:rPr>
          <w:rFonts w:ascii="Minion Pro" w:hAnsi="Minion Pro" w:cs="Arial"/>
        </w:rPr>
      </w:pPr>
      <w:r>
        <w:rPr>
          <w:rFonts w:ascii="Minion Pro" w:hAnsi="Minion Pro" w:cs="Arial"/>
        </w:rPr>
        <w:t xml:space="preserve">Naskah ini juga memberikan ilustrasi tentang bagaimana mengkombinasikan kedua model pembelajaran ini untuk menunjang pembelajaran masa pandemi yang sampai saat ini masih mencari model yang ideal. </w:t>
      </w:r>
      <w:r w:rsidR="00091C45">
        <w:rPr>
          <w:rFonts w:ascii="Minion Pro" w:hAnsi="Minion Pro" w:cs="Arial"/>
        </w:rPr>
        <w:t xml:space="preserve">Ilustrasi yang disajikan akan memberikan gambaran kepada pembaca tentang cara mendesain dan melaksanakan kombinasi pembelajaran daring dan pembelajaran luring. Kombinasi pembelajaran daring dan luring yang diharapkan dapat menginspirasi pembaca untuk mengembangkannya di bidang ajar masing-masing. </w:t>
      </w:r>
    </w:p>
    <w:p w14:paraId="65ABAC62" w14:textId="1FE70619" w:rsidR="00387299" w:rsidRPr="00F1406B" w:rsidRDefault="00387299" w:rsidP="00387299">
      <w:pPr>
        <w:spacing w:before="100" w:beforeAutospacing="1" w:after="100" w:afterAutospacing="1"/>
        <w:ind w:firstLine="540"/>
        <w:jc w:val="both"/>
        <w:rPr>
          <w:rFonts w:ascii="Minion Pro" w:hAnsi="Minion Pro"/>
        </w:rPr>
      </w:pPr>
      <w:r>
        <w:rPr>
          <w:rFonts w:ascii="Minion Pro" w:hAnsi="Minion Pro" w:cs="Arial"/>
        </w:rPr>
        <w:t>Terakhir, diharapkan semoga ide yang disajikan dalam artikel ini bermanfaat bagi praktisi di perguruan tinggi dalam merancang pembelajaran daring dan pembelajaran luring serta mengkombinasikan keduanya.</w:t>
      </w:r>
      <w:r w:rsidR="00091C45">
        <w:rPr>
          <w:rFonts w:ascii="Minion Pro" w:hAnsi="Minion Pro" w:cs="Arial"/>
        </w:rPr>
        <w:t xml:space="preserve"> </w:t>
      </w:r>
    </w:p>
    <w:p w14:paraId="2665AF65" w14:textId="5B0C6FEC" w:rsidR="00F1406B" w:rsidRDefault="00F1406B"/>
    <w:p w14:paraId="26067A41" w14:textId="77777777" w:rsidR="00F1406B" w:rsidRDefault="00F1406B"/>
    <w:p w14:paraId="618CCACE" w14:textId="77777777" w:rsidR="00F1406B" w:rsidRDefault="00F1406B"/>
    <w:p w14:paraId="714D2DB4" w14:textId="77777777" w:rsidR="00F1406B" w:rsidRDefault="00F1406B"/>
    <w:p w14:paraId="38DF4FAC" w14:textId="77777777" w:rsidR="00F1406B" w:rsidRDefault="00F1406B"/>
    <w:p w14:paraId="6A0047EF" w14:textId="77777777" w:rsidR="00F1406B" w:rsidRDefault="00F1406B"/>
    <w:p w14:paraId="27D47C7C" w14:textId="77777777" w:rsidR="00F1406B" w:rsidRDefault="00F1406B"/>
    <w:p w14:paraId="1DB860AA" w14:textId="77777777" w:rsidR="00F1406B" w:rsidRDefault="00F1406B"/>
    <w:p w14:paraId="45611567" w14:textId="77777777" w:rsidR="00F1406B" w:rsidRDefault="00F1406B"/>
    <w:p w14:paraId="387EDA5F" w14:textId="77777777" w:rsidR="00F1406B" w:rsidRDefault="00F1406B"/>
    <w:p w14:paraId="758C5310" w14:textId="77777777" w:rsidR="00F1406B" w:rsidRDefault="00F1406B"/>
    <w:p w14:paraId="235B83E0" w14:textId="77777777" w:rsidR="00F1406B" w:rsidRDefault="00F1406B"/>
    <w:p w14:paraId="08DEF3FB" w14:textId="77777777" w:rsidR="00F1406B" w:rsidRDefault="00F1406B"/>
    <w:p w14:paraId="6C42A239" w14:textId="77777777" w:rsidR="00F1406B" w:rsidRDefault="00F1406B"/>
    <w:p w14:paraId="53564DD5" w14:textId="77777777" w:rsidR="00F1406B" w:rsidRDefault="00F1406B"/>
    <w:p w14:paraId="30F4B83A" w14:textId="77777777" w:rsidR="00F1406B" w:rsidRDefault="00F1406B"/>
    <w:p w14:paraId="374C465D" w14:textId="77777777" w:rsidR="00F1406B" w:rsidRDefault="00F1406B"/>
    <w:p w14:paraId="04342798" w14:textId="77777777" w:rsidR="00F1406B" w:rsidRDefault="00F1406B"/>
    <w:p w14:paraId="5FDFA279" w14:textId="77777777" w:rsidR="00F1406B" w:rsidRDefault="00F1406B"/>
    <w:p w14:paraId="2168D4E6" w14:textId="77777777" w:rsidR="00F1406B" w:rsidRDefault="00F1406B"/>
    <w:p w14:paraId="4DBC4655"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3FDD"/>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91C45"/>
    <w:rsid w:val="0012251A"/>
    <w:rsid w:val="00177F4D"/>
    <w:rsid w:val="00387299"/>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0628"/>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Fauzi Bakri</cp:lastModifiedBy>
  <cp:revision>2</cp:revision>
  <dcterms:created xsi:type="dcterms:W3CDTF">2021-05-03T05:08:00Z</dcterms:created>
  <dcterms:modified xsi:type="dcterms:W3CDTF">2021-05-03T05:08:00Z</dcterms:modified>
</cp:coreProperties>
</file>