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05835" w14:textId="77777777" w:rsidR="00B368C8" w:rsidRDefault="00B368C8" w:rsidP="00B368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PENGHITUNGAN UJI TWO WAY ANOVA </w:t>
      </w:r>
    </w:p>
    <w:p w14:paraId="1DA4C69E" w14:textId="77777777" w:rsidR="00B368C8" w:rsidRDefault="00B368C8" w:rsidP="00B368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UNTUK MENENTUKAN </w:t>
      </w:r>
      <w:r w:rsidRPr="002D6B08">
        <w:rPr>
          <w:rFonts w:asciiTheme="majorBidi" w:hAnsiTheme="majorBidi" w:cstheme="majorBidi"/>
          <w:b/>
          <w:bCs/>
          <w:sz w:val="24"/>
          <w:szCs w:val="24"/>
        </w:rPr>
        <w:t xml:space="preserve">UJI NORMALITAS, UJI HOMOGENITAS, </w:t>
      </w:r>
    </w:p>
    <w:p w14:paraId="55645B50" w14:textId="77777777" w:rsidR="00B368C8" w:rsidRDefault="00B368C8" w:rsidP="00B368C8">
      <w:pPr>
        <w:jc w:val="center"/>
        <w:rPr>
          <w:rFonts w:asciiTheme="majorBidi" w:hAnsiTheme="majorBidi" w:cstheme="majorBidi"/>
          <w:b/>
          <w:bCs/>
        </w:rPr>
      </w:pPr>
      <w:r w:rsidRPr="002D6B08">
        <w:rPr>
          <w:rFonts w:asciiTheme="majorBidi" w:hAnsiTheme="majorBidi" w:cstheme="majorBidi"/>
          <w:b/>
          <w:bCs/>
          <w:sz w:val="24"/>
          <w:szCs w:val="24"/>
        </w:rPr>
        <w:t xml:space="preserve">DESKRIPSI DATA,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DAN </w:t>
      </w:r>
      <w:r w:rsidRPr="002D6B08">
        <w:rPr>
          <w:rFonts w:asciiTheme="majorBidi" w:hAnsiTheme="majorBidi" w:cstheme="majorBidi"/>
          <w:b/>
          <w:bCs/>
          <w:sz w:val="24"/>
          <w:szCs w:val="24"/>
        </w:rPr>
        <w:t>UJI HIPOTESIS</w:t>
      </w:r>
    </w:p>
    <w:p w14:paraId="060FE395" w14:textId="77777777" w:rsidR="00B368C8" w:rsidRDefault="00B368C8" w:rsidP="00B368C8">
      <w:pPr>
        <w:jc w:val="center"/>
        <w:rPr>
          <w:rFonts w:asciiTheme="majorBidi" w:hAnsiTheme="majorBidi" w:cstheme="majorBidi"/>
          <w:b/>
          <w:bCs/>
        </w:rPr>
      </w:pPr>
    </w:p>
    <w:p w14:paraId="2A9A849A" w14:textId="77777777" w:rsidR="00B368C8" w:rsidRDefault="00B368C8" w:rsidP="00B368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UJIAN AKHIR SEMESTER (UA</w:t>
      </w:r>
      <w:r w:rsidRPr="00C778B9">
        <w:rPr>
          <w:rFonts w:asciiTheme="majorBidi" w:hAnsiTheme="majorBidi" w:cstheme="majorBidi"/>
          <w:b/>
          <w:bCs/>
          <w:sz w:val="24"/>
          <w:szCs w:val="24"/>
        </w:rPr>
        <w:t>S)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4DDC7A3" w14:textId="77777777" w:rsidR="00B368C8" w:rsidRPr="00C778B9" w:rsidRDefault="00B368C8" w:rsidP="00B368C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778B9">
        <w:rPr>
          <w:rFonts w:asciiTheme="majorBidi" w:hAnsiTheme="majorBidi" w:cstheme="majorBidi"/>
          <w:b/>
          <w:bCs/>
          <w:sz w:val="24"/>
          <w:szCs w:val="24"/>
        </w:rPr>
        <w:t>MATA KULIAH STATISTIK</w:t>
      </w:r>
    </w:p>
    <w:p w14:paraId="4B407AD3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B4DCDA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8955C3" w14:textId="77777777" w:rsidR="00B368C8" w:rsidRPr="002D6B08" w:rsidRDefault="00B368C8" w:rsidP="00B368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Prof. Dr. Zainal </w:t>
      </w:r>
      <w:proofErr w:type="spellStart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Rafli</w:t>
      </w:r>
      <w:proofErr w:type="spellEnd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M.Pd</w:t>
      </w:r>
      <w:proofErr w:type="spellEnd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4BABE704" w14:textId="77777777" w:rsidR="00B368C8" w:rsidRPr="002D6B08" w:rsidRDefault="00B368C8" w:rsidP="00B368C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Dr. </w:t>
      </w:r>
      <w:proofErr w:type="spellStart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Samsi</w:t>
      </w:r>
      <w:proofErr w:type="spellEnd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Setiadi</w:t>
      </w:r>
      <w:proofErr w:type="spellEnd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M.Pd</w:t>
      </w:r>
      <w:proofErr w:type="spellEnd"/>
      <w:r w:rsidRPr="002D6B08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14:paraId="1CCA61BE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326A20EE" wp14:editId="2C7E0FFF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21526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09" y="21503"/>
                <wp:lineTo x="21409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146EF9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F1FBBA" w14:textId="77777777" w:rsidR="00B368C8" w:rsidRDefault="00B368C8" w:rsidP="00B368C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31464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422A0E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5419E0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718875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8CC16D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E55309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oleh:</w:t>
      </w:r>
    </w:p>
    <w:p w14:paraId="5FAF2AFA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Laveta Pamela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Rianas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(NIM: 9916821015)</w:t>
      </w:r>
    </w:p>
    <w:p w14:paraId="5E10A730" w14:textId="77777777" w:rsidR="00B368C8" w:rsidRDefault="00B368C8" w:rsidP="00B368C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EACBA2" w14:textId="77777777" w:rsidR="00B368C8" w:rsidRDefault="00B368C8" w:rsidP="00B36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MAGISTER LINGUISTIK TERAPAN</w:t>
      </w:r>
    </w:p>
    <w:p w14:paraId="2D92CE9C" w14:textId="77777777" w:rsidR="00B368C8" w:rsidRDefault="00B368C8" w:rsidP="00B36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PROGRAM PASCASARJANA</w:t>
      </w:r>
    </w:p>
    <w:p w14:paraId="740CF875" w14:textId="77777777" w:rsidR="00B368C8" w:rsidRDefault="00B368C8" w:rsidP="00B368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NEGERI JAKARTA</w:t>
      </w:r>
    </w:p>
    <w:p w14:paraId="30A48CC7" w14:textId="77777777" w:rsidR="00B368C8" w:rsidRPr="00C778B9" w:rsidRDefault="00B368C8" w:rsidP="00B368C8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33B973E7" w14:textId="77777777" w:rsidR="00B368C8" w:rsidRDefault="00B368C8" w:rsidP="00B368C8">
      <w:pPr>
        <w:jc w:val="both"/>
        <w:rPr>
          <w:rFonts w:asciiTheme="majorBidi" w:hAnsiTheme="majorBidi" w:cstheme="majorBidi"/>
          <w:b/>
          <w:bCs/>
          <w:sz w:val="24"/>
          <w:szCs w:val="24"/>
        </w:rPr>
        <w:sectPr w:rsidR="00B368C8" w:rsidSect="00FE1EF0">
          <w:footerReference w:type="default" r:id="rId6"/>
          <w:pgSz w:w="12240" w:h="15840"/>
          <w:pgMar w:top="1440" w:right="1440" w:bottom="1440" w:left="1134" w:header="708" w:footer="708" w:gutter="0"/>
          <w:cols w:space="708"/>
          <w:docGrid w:linePitch="360"/>
        </w:sectPr>
      </w:pPr>
    </w:p>
    <w:p w14:paraId="6CA034F0" w14:textId="77777777" w:rsidR="00B368C8" w:rsidRPr="00F01D43" w:rsidRDefault="00B368C8" w:rsidP="00B368C8">
      <w:pPr>
        <w:spacing w:before="240" w:after="2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Uji To Way </w:t>
      </w:r>
      <w:proofErr w:type="spellStart"/>
      <w:r>
        <w:rPr>
          <w:rFonts w:asciiTheme="majorBidi" w:hAnsiTheme="majorBidi" w:cstheme="majorBidi"/>
          <w:sz w:val="24"/>
          <w:szCs w:val="24"/>
        </w:rPr>
        <w:t>Anova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Merujuk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Hasil </w:t>
      </w:r>
      <w:proofErr w:type="spellStart"/>
      <w:r>
        <w:rPr>
          <w:rFonts w:asciiTheme="majorBidi" w:hAnsiTheme="majorBidi" w:cstheme="majorBidi"/>
          <w:sz w:val="24"/>
          <w:szCs w:val="24"/>
        </w:rPr>
        <w:t>Belajar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MAN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Kribadian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dan </w:t>
      </w:r>
      <w:proofErr w:type="spellStart"/>
      <w:r>
        <w:rPr>
          <w:rFonts w:asciiTheme="majorBidi" w:hAnsiTheme="majorBidi" w:cstheme="majorBidi"/>
          <w:sz w:val="24"/>
          <w:szCs w:val="24"/>
        </w:rPr>
        <w:t>Metode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Mencari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Hasil Uji </w:t>
      </w:r>
      <w:proofErr w:type="spellStart"/>
      <w:r>
        <w:rPr>
          <w:rFonts w:asciiTheme="majorBidi" w:hAnsiTheme="majorBidi" w:cstheme="majorBidi"/>
          <w:sz w:val="24"/>
          <w:szCs w:val="24"/>
        </w:rPr>
        <w:t>Normalitas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Uji </w:t>
      </w:r>
      <w:proofErr w:type="spellStart"/>
      <w:r>
        <w:rPr>
          <w:rFonts w:asciiTheme="majorBidi" w:hAnsiTheme="majorBidi" w:cstheme="majorBidi"/>
          <w:sz w:val="24"/>
          <w:szCs w:val="24"/>
        </w:rPr>
        <w:t>Homogenitas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Desripsi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Data, dan Uji </w:t>
      </w:r>
      <w:proofErr w:type="spellStart"/>
      <w:r>
        <w:rPr>
          <w:rFonts w:asciiTheme="majorBidi" w:hAnsiTheme="majorBidi" w:cstheme="majorBidi"/>
          <w:sz w:val="24"/>
          <w:szCs w:val="24"/>
        </w:rPr>
        <w:t>Hipotesis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14:paraId="591BDB17" w14:textId="77777777" w:rsidR="00B368C8" w:rsidRDefault="00B368C8" w:rsidP="00B368C8">
      <w:pPr>
        <w:spacing w:before="240" w:after="24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B339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7B3872B0" wp14:editId="3F94CDF6">
            <wp:extent cx="2277152" cy="2513627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9747" cy="25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394">
        <w:rPr>
          <w:rFonts w:asciiTheme="majorBidi" w:hAnsiTheme="majorBidi" w:cstheme="majorBidi"/>
          <w:b/>
          <w:bCs/>
          <w:sz w:val="24"/>
          <w:szCs w:val="24"/>
        </w:rPr>
        <w:drawing>
          <wp:inline distT="0" distB="0" distL="0" distR="0" wp14:anchorId="4AAE324E" wp14:editId="17CCAF4F">
            <wp:extent cx="1740535" cy="246956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837" cy="247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3394">
        <w:rPr>
          <w:noProof/>
        </w:rPr>
        <w:t xml:space="preserve"> </w:t>
      </w:r>
      <w:r w:rsidRPr="00A3796C">
        <w:rPr>
          <w:noProof/>
        </w:rPr>
        <w:t xml:space="preserve"> </w:t>
      </w:r>
      <w:r w:rsidRPr="00A3796C">
        <w:rPr>
          <w:noProof/>
        </w:rPr>
        <w:drawing>
          <wp:inline distT="0" distB="0" distL="0" distR="0" wp14:anchorId="226E1C6E" wp14:editId="75455A4F">
            <wp:extent cx="1543050" cy="24654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1679" cy="249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DD98" w14:textId="4DA25B22" w:rsidR="00B368C8" w:rsidRPr="00A3796C" w:rsidRDefault="00147E2B" w:rsidP="00B368C8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Dasar </w:t>
      </w:r>
      <w:proofErr w:type="spellStart"/>
      <w:r>
        <w:rPr>
          <w:rFonts w:asciiTheme="majorBidi" w:hAnsiTheme="majorBidi" w:cstheme="majorBidi"/>
          <w:sz w:val="24"/>
          <w:szCs w:val="24"/>
        </w:rPr>
        <w:t>Pengambilan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Keputusan Uji </w:t>
      </w:r>
      <w:proofErr w:type="spellStart"/>
      <w:r>
        <w:rPr>
          <w:rFonts w:asciiTheme="majorBidi" w:hAnsiTheme="majorBidi" w:cstheme="majorBidi"/>
          <w:sz w:val="24"/>
          <w:szCs w:val="24"/>
        </w:rPr>
        <w:t>Normalitas</w:t>
      </w:r>
      <w:proofErr w:type="spellEnd"/>
    </w:p>
    <w:p w14:paraId="4831DAB3" w14:textId="77777777" w:rsidR="00B368C8" w:rsidRDefault="00B368C8" w:rsidP="00B368C8">
      <w:pPr>
        <w:pStyle w:val="ListParagraph"/>
        <w:numPr>
          <w:ilvl w:val="0"/>
          <w:numId w:val="2"/>
        </w:numPr>
        <w:spacing w:before="240" w:line="360" w:lineRule="auto"/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Nilai Sig. &gt; 0,05,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berdistribusi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</w:t>
      </w:r>
    </w:p>
    <w:p w14:paraId="7CA09A10" w14:textId="2567D832" w:rsidR="00B368C8" w:rsidRPr="00277E17" w:rsidRDefault="00B368C8" w:rsidP="00B368C8">
      <w:pPr>
        <w:pStyle w:val="ListParagraph"/>
        <w:numPr>
          <w:ilvl w:val="0"/>
          <w:numId w:val="2"/>
        </w:numPr>
        <w:spacing w:before="240" w:line="360" w:lineRule="auto"/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Jika Nilai Sig. &lt; 0,05,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residu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standar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berdistribusi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</w:t>
      </w:r>
    </w:p>
    <w:tbl>
      <w:tblPr>
        <w:tblpPr w:leftFromText="180" w:rightFromText="180" w:vertAnchor="text" w:horzAnchor="margin" w:tblpY="516"/>
        <w:tblW w:w="10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02"/>
        <w:gridCol w:w="1000"/>
        <w:gridCol w:w="998"/>
        <w:gridCol w:w="1000"/>
        <w:gridCol w:w="1000"/>
        <w:gridCol w:w="1000"/>
        <w:gridCol w:w="1000"/>
        <w:gridCol w:w="1000"/>
        <w:gridCol w:w="1000"/>
      </w:tblGrid>
      <w:tr w:rsidR="009025B2" w:rsidRPr="00BE2958" w14:paraId="6B2181A8" w14:textId="77777777" w:rsidTr="001901B8">
        <w:tblPrEx>
          <w:tblCellMar>
            <w:top w:w="0" w:type="dxa"/>
            <w:bottom w:w="0" w:type="dxa"/>
          </w:tblCellMar>
        </w:tblPrEx>
        <w:trPr>
          <w:gridAfter w:val="2"/>
          <w:wAfter w:w="2000" w:type="dxa"/>
          <w:cantSplit/>
          <w:tblHeader/>
        </w:trPr>
        <w:tc>
          <w:tcPr>
            <w:tcW w:w="84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01D9D1E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Tests of Normality</w:t>
            </w:r>
          </w:p>
        </w:tc>
      </w:tr>
      <w:tr w:rsidR="009025B2" w:rsidRPr="00BE2958" w14:paraId="5AB1680F" w14:textId="77777777" w:rsidTr="001901B8">
        <w:tblPrEx>
          <w:tblCellMar>
            <w:top w:w="0" w:type="dxa"/>
            <w:bottom w:w="0" w:type="dxa"/>
          </w:tblCellMar>
        </w:tblPrEx>
        <w:trPr>
          <w:gridAfter w:val="2"/>
          <w:wAfter w:w="2000" w:type="dxa"/>
          <w:cantSplit/>
          <w:tblHeader/>
        </w:trPr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77EA3C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8" w:type="dxa"/>
            <w:gridSpan w:val="3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366208B1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Kolmogorov-Smirnov</w:t>
            </w:r>
            <w:r w:rsidRPr="00BE29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000" w:type="dxa"/>
            <w:gridSpan w:val="3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9F442BE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Shapiro-Wilk</w:t>
            </w:r>
          </w:p>
        </w:tc>
      </w:tr>
      <w:tr w:rsidR="009025B2" w:rsidRPr="00BE2958" w14:paraId="5D073FD3" w14:textId="77777777" w:rsidTr="001901B8">
        <w:tblPrEx>
          <w:tblCellMar>
            <w:top w:w="0" w:type="dxa"/>
            <w:bottom w:w="0" w:type="dxa"/>
          </w:tblCellMar>
        </w:tblPrEx>
        <w:trPr>
          <w:gridAfter w:val="2"/>
          <w:wAfter w:w="2000" w:type="dxa"/>
          <w:cantSplit/>
          <w:tblHeader/>
        </w:trPr>
        <w:tc>
          <w:tcPr>
            <w:tcW w:w="2402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F1FD03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8435B3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998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30D1D86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9325D25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C2C2884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Statistic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51B12CB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AACAA1F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025B2" w:rsidRPr="00BE2958" w14:paraId="42548ADC" w14:textId="77777777" w:rsidTr="001901B8">
        <w:tblPrEx>
          <w:tblCellMar>
            <w:top w:w="0" w:type="dxa"/>
            <w:bottom w:w="0" w:type="dxa"/>
          </w:tblCellMar>
        </w:tblPrEx>
        <w:trPr>
          <w:gridAfter w:val="2"/>
          <w:wAfter w:w="2000" w:type="dxa"/>
          <w:cantSplit/>
          <w:tblHeader/>
        </w:trPr>
        <w:tc>
          <w:tcPr>
            <w:tcW w:w="240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287650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Standardized Residual for Hasil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4FD425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.105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A8A7DA8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E039DBA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.200</w:t>
            </w:r>
            <w:r w:rsidRPr="00BE2958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*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BC6C09C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.961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2D80AEB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527C8F0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.178</w:t>
            </w:r>
          </w:p>
        </w:tc>
      </w:tr>
      <w:tr w:rsidR="009025B2" w:rsidRPr="00BE2958" w14:paraId="7E156DB5" w14:textId="77777777" w:rsidTr="001901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5FF470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a. Lilliefors Significance Correction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313059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18A0FF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E5283C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455838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2A562EB1" w14:textId="77777777" w:rsidR="009025B2" w:rsidRPr="00BE2958" w:rsidRDefault="009025B2" w:rsidP="001901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</w:tcPr>
          <w:p w14:paraId="474A07AE" w14:textId="77777777" w:rsidR="009025B2" w:rsidRPr="00BE2958" w:rsidRDefault="009025B2" w:rsidP="001901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5B2" w:rsidRPr="00BE2958" w14:paraId="3A1B93F4" w14:textId="77777777" w:rsidTr="001901B8">
        <w:tblPrEx>
          <w:tblCellMar>
            <w:top w:w="0" w:type="dxa"/>
            <w:bottom w:w="0" w:type="dxa"/>
          </w:tblCellMar>
        </w:tblPrEx>
        <w:trPr>
          <w:gridAfter w:val="2"/>
          <w:wAfter w:w="2000" w:type="dxa"/>
          <w:cantSplit/>
        </w:trPr>
        <w:tc>
          <w:tcPr>
            <w:tcW w:w="54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1EAE3F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*. This is a lower bound of the true significance.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F0F532C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9F67FDF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0947363" w14:textId="77777777" w:rsidR="009025B2" w:rsidRPr="00BE2958" w:rsidRDefault="009025B2" w:rsidP="001901B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35BA3F" w14:textId="39965F34" w:rsidR="009025B2" w:rsidRPr="009025B2" w:rsidRDefault="009025B2" w:rsidP="009025B2">
      <w:pPr>
        <w:pStyle w:val="ListParagraph"/>
        <w:numPr>
          <w:ilvl w:val="0"/>
          <w:numId w:val="6"/>
        </w:num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Uji </w:t>
      </w:r>
      <w:proofErr w:type="spellStart"/>
      <w:r>
        <w:rPr>
          <w:rFonts w:asciiTheme="majorBidi" w:hAnsiTheme="majorBidi" w:cstheme="majorBidi"/>
          <w:sz w:val="24"/>
          <w:szCs w:val="24"/>
        </w:rPr>
        <w:t>Normalitas</w:t>
      </w:r>
      <w:proofErr w:type="spellEnd"/>
    </w:p>
    <w:p w14:paraId="17A0CF82" w14:textId="1D8BF7A4" w:rsidR="00277E17" w:rsidRDefault="00277E17" w:rsidP="00B368C8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Berdasarkan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uji </w:t>
      </w:r>
      <w:proofErr w:type="spellStart"/>
      <w:r>
        <w:rPr>
          <w:rFonts w:asciiTheme="majorBidi" w:hAnsiTheme="majorBidi" w:cstheme="majorBidi"/>
          <w:sz w:val="24"/>
          <w:szCs w:val="24"/>
        </w:rPr>
        <w:t>normalitas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>
        <w:rPr>
          <w:rFonts w:asciiTheme="majorBidi" w:hAnsiTheme="majorBidi" w:cstheme="majorBidi"/>
          <w:sz w:val="24"/>
          <w:szCs w:val="24"/>
        </w:rPr>
        <w:t>bersifat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normal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nilai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di</w:t>
      </w:r>
      <w:r>
        <w:rPr>
          <w:rFonts w:asciiTheme="majorBidi" w:hAnsiTheme="majorBidi" w:cstheme="majorBidi"/>
          <w:sz w:val="24"/>
          <w:szCs w:val="24"/>
        </w:rPr>
        <w:t>hasilkan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sebesar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0.178</w:t>
      </w:r>
      <w:r w:rsidR="000D5712">
        <w:rPr>
          <w:rFonts w:asciiTheme="majorBidi" w:hAnsiTheme="majorBidi" w:cstheme="majorBidi"/>
          <w:sz w:val="24"/>
          <w:szCs w:val="24"/>
        </w:rPr>
        <w:t>.</w:t>
      </w:r>
      <w:r w:rsidR="00252D18">
        <w:rPr>
          <w:rFonts w:asciiTheme="majorBidi" w:hAnsiTheme="majorBidi" w:cstheme="majorBidi"/>
          <w:sz w:val="24"/>
          <w:szCs w:val="24"/>
        </w:rPr>
        <w:t xml:space="preserve"> Karena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</w:t>
      </w:r>
      <w:r w:rsidR="00252D18">
        <w:rPr>
          <w:rFonts w:asciiTheme="majorBidi" w:hAnsiTheme="majorBidi" w:cstheme="majorBidi"/>
          <w:sz w:val="24"/>
          <w:szCs w:val="24"/>
        </w:rPr>
        <w:t xml:space="preserve">Sig. &gt; 0,05,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nilai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residu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standar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berdistribusi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normal</w:t>
      </w:r>
      <w:r w:rsidR="00252D1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 xml:space="preserve"> Ho </w:t>
      </w:r>
      <w:proofErr w:type="spellStart"/>
      <w:r w:rsidR="00252D18">
        <w:rPr>
          <w:rFonts w:asciiTheme="majorBidi" w:hAnsiTheme="majorBidi" w:cstheme="majorBidi"/>
          <w:sz w:val="24"/>
          <w:szCs w:val="24"/>
        </w:rPr>
        <w:t>diterima</w:t>
      </w:r>
      <w:proofErr w:type="spellEnd"/>
      <w:r w:rsidR="00252D18">
        <w:rPr>
          <w:rFonts w:asciiTheme="majorBidi" w:hAnsiTheme="majorBidi" w:cstheme="majorBidi"/>
          <w:sz w:val="24"/>
          <w:szCs w:val="24"/>
        </w:rPr>
        <w:t>.</w:t>
      </w:r>
    </w:p>
    <w:p w14:paraId="1D6AD575" w14:textId="311359B3" w:rsidR="009025B2" w:rsidRDefault="009025B2" w:rsidP="00B368C8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E64FB32" w14:textId="77777777" w:rsidR="009025B2" w:rsidRDefault="009025B2" w:rsidP="00B368C8">
      <w:pPr>
        <w:spacing w:before="24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FCC903" w14:textId="4FDDE067" w:rsidR="00B368C8" w:rsidRPr="000D5712" w:rsidRDefault="00147E2B" w:rsidP="000D5712">
      <w:pPr>
        <w:pStyle w:val="ListParagraph"/>
        <w:spacing w:before="240" w:line="24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Uji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Homogenitas</w:t>
      </w:r>
      <w:proofErr w:type="spellEnd"/>
    </w:p>
    <w:p w14:paraId="44B85AFF" w14:textId="19D25F75" w:rsidR="00B368C8" w:rsidRDefault="00B368C8" w:rsidP="00B368C8">
      <w:pPr>
        <w:pStyle w:val="ListParagraph"/>
        <w:numPr>
          <w:ilvl w:val="0"/>
          <w:numId w:val="3"/>
        </w:numPr>
        <w:spacing w:before="240" w:line="240" w:lineRule="auto"/>
        <w:ind w:left="851" w:hanging="425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Output </w:t>
      </w:r>
      <w:proofErr w:type="spellStart"/>
      <w:r>
        <w:rPr>
          <w:rFonts w:asciiTheme="majorBidi" w:hAnsiTheme="majorBidi" w:cstheme="majorBidi"/>
          <w:sz w:val="24"/>
          <w:szCs w:val="24"/>
        </w:rPr>
        <w:t>pertama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 w:rsidRPr="000D5712">
        <w:rPr>
          <w:rFonts w:asciiTheme="majorBidi" w:hAnsiTheme="majorBidi" w:cstheme="majorBidi"/>
          <w:i/>
          <w:iCs/>
          <w:sz w:val="24"/>
          <w:szCs w:val="24"/>
        </w:rPr>
        <w:t>between –subject factors</w:t>
      </w:r>
      <w:r>
        <w:rPr>
          <w:rFonts w:asciiTheme="majorBidi" w:hAnsiTheme="majorBidi" w:cstheme="majorBidi"/>
          <w:sz w:val="24"/>
          <w:szCs w:val="24"/>
        </w:rPr>
        <w:t>”</w:t>
      </w:r>
    </w:p>
    <w:tbl>
      <w:tblPr>
        <w:tblW w:w="5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01"/>
        <w:gridCol w:w="998"/>
        <w:gridCol w:w="101"/>
        <w:gridCol w:w="720"/>
        <w:gridCol w:w="179"/>
        <w:gridCol w:w="1000"/>
        <w:gridCol w:w="83"/>
        <w:gridCol w:w="998"/>
      </w:tblGrid>
      <w:tr w:rsidR="00157960" w:rsidRPr="00BE2958" w14:paraId="00C4AE47" w14:textId="77777777" w:rsidTr="00E94F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D6CC4BE" w14:textId="77777777" w:rsidR="00157960" w:rsidRPr="00BE2958" w:rsidRDefault="00157960" w:rsidP="001901B8">
            <w:r w:rsidRPr="00BE2958">
              <w:rPr>
                <w:b/>
                <w:bCs/>
              </w:rPr>
              <w:t>Between-Subjects Factors</w:t>
            </w:r>
          </w:p>
        </w:tc>
      </w:tr>
      <w:tr w:rsidR="00157960" w:rsidRPr="00BE2958" w14:paraId="1583E9FB" w14:textId="77777777" w:rsidTr="00E94F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45E9A02" w14:textId="77777777" w:rsidR="00157960" w:rsidRPr="00BE2958" w:rsidRDefault="00157960" w:rsidP="001901B8"/>
        </w:tc>
        <w:tc>
          <w:tcPr>
            <w:tcW w:w="72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470BC2" w14:textId="77777777" w:rsidR="00157960" w:rsidRPr="00BE2958" w:rsidRDefault="00157960" w:rsidP="001901B8"/>
        </w:tc>
        <w:tc>
          <w:tcPr>
            <w:tcW w:w="1262" w:type="dxa"/>
            <w:gridSpan w:val="3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1C9AC5F7" w14:textId="77777777" w:rsidR="00157960" w:rsidRPr="00BE2958" w:rsidRDefault="00157960" w:rsidP="001901B8">
            <w:r w:rsidRPr="00BE2958">
              <w:t>Value Label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8A96490" w14:textId="77777777" w:rsidR="00157960" w:rsidRPr="00BE2958" w:rsidRDefault="00157960" w:rsidP="001901B8">
            <w:r w:rsidRPr="00BE2958">
              <w:t>N</w:t>
            </w:r>
          </w:p>
        </w:tc>
      </w:tr>
      <w:tr w:rsidR="00157960" w:rsidRPr="00BE2958" w14:paraId="4467BF0C" w14:textId="77777777" w:rsidTr="00E94F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0B3EF38" w14:textId="77777777" w:rsidR="00157960" w:rsidRPr="00BE2958" w:rsidRDefault="00157960" w:rsidP="001901B8">
            <w:proofErr w:type="spellStart"/>
            <w:r w:rsidRPr="00BE2958">
              <w:t>Metode</w:t>
            </w:r>
            <w:proofErr w:type="spellEnd"/>
            <w:r w:rsidRPr="00BE2958">
              <w:t xml:space="preserve"> </w:t>
            </w:r>
            <w:proofErr w:type="spellStart"/>
            <w:r w:rsidRPr="00BE2958">
              <w:t>Pembelajaran</w:t>
            </w:r>
            <w:proofErr w:type="spellEnd"/>
          </w:p>
        </w:tc>
        <w:tc>
          <w:tcPr>
            <w:tcW w:w="72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1ECF131" w14:textId="77777777" w:rsidR="00157960" w:rsidRPr="00BE2958" w:rsidRDefault="00157960" w:rsidP="001901B8">
            <w:r w:rsidRPr="00BE2958">
              <w:t>1</w:t>
            </w:r>
          </w:p>
        </w:tc>
        <w:tc>
          <w:tcPr>
            <w:tcW w:w="1262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9EDA0F8" w14:textId="77777777" w:rsidR="00157960" w:rsidRPr="00BE2958" w:rsidRDefault="00157960" w:rsidP="001901B8">
            <w:proofErr w:type="spellStart"/>
            <w:r w:rsidRPr="00BE2958">
              <w:t>Metode</w:t>
            </w:r>
            <w:proofErr w:type="spellEnd"/>
            <w:r w:rsidRPr="00BE2958">
              <w:t xml:space="preserve"> </w:t>
            </w:r>
            <w:proofErr w:type="spellStart"/>
            <w:r w:rsidRPr="00BE2958">
              <w:t>Langsung</w:t>
            </w:r>
            <w:proofErr w:type="spellEnd"/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C4529F7" w14:textId="77777777" w:rsidR="00157960" w:rsidRPr="00BE2958" w:rsidRDefault="00157960" w:rsidP="001901B8">
            <w:r w:rsidRPr="00BE2958">
              <w:t>20</w:t>
            </w:r>
          </w:p>
        </w:tc>
      </w:tr>
      <w:tr w:rsidR="00157960" w:rsidRPr="00BE2958" w14:paraId="6AC6E56F" w14:textId="77777777" w:rsidTr="00E94F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1912CA" w14:textId="77777777" w:rsidR="00157960" w:rsidRPr="00BE2958" w:rsidRDefault="00157960" w:rsidP="001901B8"/>
        </w:tc>
        <w:tc>
          <w:tcPr>
            <w:tcW w:w="72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F2AAA5" w14:textId="77777777" w:rsidR="00157960" w:rsidRPr="00BE2958" w:rsidRDefault="00157960" w:rsidP="001901B8">
            <w:r w:rsidRPr="00BE2958">
              <w:t>2</w:t>
            </w:r>
          </w:p>
        </w:tc>
        <w:tc>
          <w:tcPr>
            <w:tcW w:w="1262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7895EEC" w14:textId="77777777" w:rsidR="00157960" w:rsidRPr="00BE2958" w:rsidRDefault="00157960" w:rsidP="001901B8">
            <w:r w:rsidRPr="00BE2958">
              <w:t xml:space="preserve">Tata Bahasa </w:t>
            </w:r>
            <w:proofErr w:type="spellStart"/>
            <w:r w:rsidRPr="00BE2958">
              <w:t>Terjemah</w:t>
            </w:r>
            <w:proofErr w:type="spellEnd"/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C0B5BA0" w14:textId="77777777" w:rsidR="00157960" w:rsidRPr="00BE2958" w:rsidRDefault="00157960" w:rsidP="001901B8">
            <w:r w:rsidRPr="00BE2958">
              <w:t>20</w:t>
            </w:r>
          </w:p>
        </w:tc>
      </w:tr>
      <w:tr w:rsidR="00157960" w:rsidRPr="00BE2958" w14:paraId="07CCD1AF" w14:textId="77777777" w:rsidTr="00E94FB0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gridSpan w:val="3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5CCB22" w14:textId="77777777" w:rsidR="00157960" w:rsidRPr="00BE2958" w:rsidRDefault="00157960" w:rsidP="001901B8">
            <w:proofErr w:type="spellStart"/>
            <w:r w:rsidRPr="00BE2958">
              <w:t>Tipe</w:t>
            </w:r>
            <w:proofErr w:type="spellEnd"/>
            <w:r w:rsidRPr="00BE2958">
              <w:t xml:space="preserve"> </w:t>
            </w:r>
            <w:proofErr w:type="spellStart"/>
            <w:r w:rsidRPr="00BE2958">
              <w:t>Kepribadian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E9C246" w14:textId="77777777" w:rsidR="00157960" w:rsidRPr="00BE2958" w:rsidRDefault="00157960" w:rsidP="001901B8">
            <w:r w:rsidRPr="00BE2958">
              <w:t>1</w:t>
            </w:r>
          </w:p>
        </w:tc>
        <w:tc>
          <w:tcPr>
            <w:tcW w:w="1262" w:type="dxa"/>
            <w:gridSpan w:val="3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FCED90F" w14:textId="77777777" w:rsidR="00157960" w:rsidRPr="00BE2958" w:rsidRDefault="00157960" w:rsidP="001901B8">
            <w:r w:rsidRPr="00BE2958">
              <w:t>Introvert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D6A084A" w14:textId="77777777" w:rsidR="00157960" w:rsidRPr="00BE2958" w:rsidRDefault="00157960" w:rsidP="001901B8">
            <w:r w:rsidRPr="00BE2958">
              <w:t>20</w:t>
            </w:r>
          </w:p>
        </w:tc>
      </w:tr>
      <w:tr w:rsidR="00157960" w:rsidRPr="00BE2958" w14:paraId="3659FA13" w14:textId="77777777" w:rsidTr="00E94FB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94CF09" w14:textId="77777777" w:rsidR="00157960" w:rsidRPr="00BE2958" w:rsidRDefault="00157960" w:rsidP="001901B8"/>
        </w:tc>
        <w:tc>
          <w:tcPr>
            <w:tcW w:w="7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D76969" w14:textId="77777777" w:rsidR="00157960" w:rsidRPr="00BE2958" w:rsidRDefault="00157960" w:rsidP="001901B8">
            <w:r w:rsidRPr="00BE2958">
              <w:t>2</w:t>
            </w:r>
          </w:p>
        </w:tc>
        <w:tc>
          <w:tcPr>
            <w:tcW w:w="1262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CF38C28" w14:textId="77777777" w:rsidR="00157960" w:rsidRPr="00BE2958" w:rsidRDefault="00157960" w:rsidP="001901B8">
            <w:r w:rsidRPr="00BE2958">
              <w:t>Extrovert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4654980D" w14:textId="77777777" w:rsidR="00157960" w:rsidRPr="00BE2958" w:rsidRDefault="00157960" w:rsidP="001901B8">
            <w:r w:rsidRPr="00BE2958">
              <w:t>20</w:t>
            </w:r>
          </w:p>
        </w:tc>
      </w:tr>
      <w:tr w:rsidR="00157960" w:rsidRPr="00BE2958" w14:paraId="04C599CC" w14:textId="77777777" w:rsidTr="00E94FB0">
        <w:tblPrEx>
          <w:tblCellMar>
            <w:top w:w="0" w:type="dxa"/>
            <w:bottom w:w="0" w:type="dxa"/>
          </w:tblCellMar>
        </w:tblPrEx>
        <w:trPr>
          <w:gridAfter w:val="2"/>
          <w:wAfter w:w="1081" w:type="dxa"/>
          <w:cantSplit/>
          <w:tblHeader/>
        </w:trPr>
        <w:tc>
          <w:tcPr>
            <w:tcW w:w="39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F9CA74" w14:textId="77777777" w:rsidR="00E94FB0" w:rsidRDefault="00E94FB0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  <w:p w14:paraId="4746DE29" w14:textId="082DFAC3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BE29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Levene's</w:t>
            </w:r>
            <w:proofErr w:type="spellEnd"/>
            <w:r w:rsidRPr="00BE29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Test of Equality of Error </w:t>
            </w:r>
            <w:proofErr w:type="spellStart"/>
            <w:r w:rsidRPr="00BE295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Variances</w:t>
            </w:r>
            <w:r w:rsidRPr="00BE2958">
              <w:rPr>
                <w:rFonts w:ascii="Arial" w:hAnsi="Arial" w:cs="Arial"/>
                <w:b/>
                <w:bCs/>
                <w:color w:val="000000"/>
                <w:sz w:val="18"/>
                <w:szCs w:val="18"/>
                <w:vertAlign w:val="superscript"/>
              </w:rPr>
              <w:t>a</w:t>
            </w:r>
            <w:proofErr w:type="spellEnd"/>
          </w:p>
        </w:tc>
      </w:tr>
      <w:tr w:rsidR="00157960" w:rsidRPr="00BE2958" w14:paraId="2FBD4C73" w14:textId="77777777" w:rsidTr="00E94FB0">
        <w:tblPrEx>
          <w:tblCellMar>
            <w:top w:w="0" w:type="dxa"/>
            <w:bottom w:w="0" w:type="dxa"/>
          </w:tblCellMar>
        </w:tblPrEx>
        <w:trPr>
          <w:gridAfter w:val="2"/>
          <w:wAfter w:w="1081" w:type="dxa"/>
          <w:cantSplit/>
          <w:tblHeader/>
        </w:trPr>
        <w:tc>
          <w:tcPr>
            <w:tcW w:w="39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2BA9E4DA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Dependent </w:t>
            </w:r>
            <w:proofErr w:type="spellStart"/>
            <w:proofErr w:type="gram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Variable:Hasil</w:t>
            </w:r>
            <w:proofErr w:type="spellEnd"/>
            <w:proofErr w:type="gramEnd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Belajar</w:t>
            </w:r>
            <w:proofErr w:type="spellEnd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 Bahasa </w:t>
            </w: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Inggris</w:t>
            </w:r>
            <w:proofErr w:type="spellEnd"/>
          </w:p>
        </w:tc>
      </w:tr>
      <w:tr w:rsidR="00157960" w:rsidRPr="00BE2958" w14:paraId="670C160D" w14:textId="77777777" w:rsidTr="00E94FB0">
        <w:tblPrEx>
          <w:tblCellMar>
            <w:top w:w="0" w:type="dxa"/>
            <w:bottom w:w="0" w:type="dxa"/>
          </w:tblCellMar>
        </w:tblPrEx>
        <w:trPr>
          <w:gridAfter w:val="2"/>
          <w:wAfter w:w="1081" w:type="dxa"/>
          <w:cantSplit/>
          <w:tblHeader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0C2A95AC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8BC9C4F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0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56C55EB6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6CCF480D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157960" w:rsidRPr="00BE2958" w14:paraId="4CB7A03C" w14:textId="77777777" w:rsidTr="00E94FB0">
        <w:tblPrEx>
          <w:tblCellMar>
            <w:top w:w="0" w:type="dxa"/>
            <w:bottom w:w="0" w:type="dxa"/>
          </w:tblCellMar>
        </w:tblPrEx>
        <w:trPr>
          <w:gridAfter w:val="2"/>
          <w:wAfter w:w="1081" w:type="dxa"/>
          <w:cantSplit/>
          <w:tblHeader/>
        </w:trPr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5B6F053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1.148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662E86CD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00" w:type="dxa"/>
            <w:gridSpan w:val="3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21F660D5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3ED969C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.343</w:t>
            </w:r>
          </w:p>
        </w:tc>
      </w:tr>
      <w:tr w:rsidR="00157960" w:rsidRPr="00BE2958" w14:paraId="5CEC1E27" w14:textId="77777777" w:rsidTr="00E94FB0">
        <w:tblPrEx>
          <w:tblCellMar>
            <w:top w:w="0" w:type="dxa"/>
            <w:bottom w:w="0" w:type="dxa"/>
          </w:tblCellMar>
        </w:tblPrEx>
        <w:trPr>
          <w:gridAfter w:val="2"/>
          <w:wAfter w:w="1081" w:type="dxa"/>
          <w:cantSplit/>
          <w:tblHeader/>
        </w:trPr>
        <w:tc>
          <w:tcPr>
            <w:tcW w:w="39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B8AF52A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Tests the null hypothesis that the error variance of the dependent variable is equal across groups.</w:t>
            </w:r>
          </w:p>
        </w:tc>
      </w:tr>
      <w:tr w:rsidR="00157960" w:rsidRPr="00BE2958" w14:paraId="63DE1317" w14:textId="77777777" w:rsidTr="00E94FB0">
        <w:tblPrEx>
          <w:tblCellMar>
            <w:top w:w="0" w:type="dxa"/>
            <w:bottom w:w="0" w:type="dxa"/>
          </w:tblCellMar>
        </w:tblPrEx>
        <w:trPr>
          <w:gridAfter w:val="2"/>
          <w:wAfter w:w="1081" w:type="dxa"/>
          <w:cantSplit/>
        </w:trPr>
        <w:tc>
          <w:tcPr>
            <w:tcW w:w="39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4DAC76" w14:textId="77777777" w:rsidR="00157960" w:rsidRPr="00BE2958" w:rsidRDefault="00157960" w:rsidP="001901B8">
            <w:pPr>
              <w:autoSpaceDE w:val="0"/>
              <w:autoSpaceDN w:val="0"/>
              <w:adjustRightInd w:val="0"/>
              <w:spacing w:after="0" w:line="320" w:lineRule="atLeas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a. Design: Intercept + </w:t>
            </w: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Metode</w:t>
            </w:r>
            <w:proofErr w:type="spellEnd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Tipe</w:t>
            </w:r>
            <w:proofErr w:type="spellEnd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 + </w:t>
            </w: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Metode</w:t>
            </w:r>
            <w:proofErr w:type="spellEnd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 xml:space="preserve"> * </w:t>
            </w:r>
            <w:proofErr w:type="spellStart"/>
            <w:r w:rsidRPr="00BE2958">
              <w:rPr>
                <w:rFonts w:ascii="Arial" w:hAnsi="Arial" w:cs="Arial"/>
                <w:color w:val="000000"/>
                <w:sz w:val="18"/>
                <w:szCs w:val="18"/>
              </w:rPr>
              <w:t>Tipe</w:t>
            </w:r>
            <w:proofErr w:type="spellEnd"/>
          </w:p>
        </w:tc>
      </w:tr>
    </w:tbl>
    <w:p w14:paraId="697A4AFE" w14:textId="2B0DFF34" w:rsidR="00157960" w:rsidRPr="00BE2958" w:rsidRDefault="00157960" w:rsidP="00157960">
      <w:r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Homogenitas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Levene’s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Test)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SPSS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0,343 &gt; 0,05,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Madrasah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Aliyaah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Negeri (MAN)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h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asil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MAN yang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homogenitas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uji to way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anova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4FB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="00E94FB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5080" w:type="dxa"/>
        <w:tblInd w:w="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00"/>
        <w:gridCol w:w="720"/>
        <w:gridCol w:w="1262"/>
        <w:gridCol w:w="998"/>
      </w:tblGrid>
      <w:tr w:rsidR="000D5712" w:rsidRPr="00BE2958" w14:paraId="551C31E7" w14:textId="77777777" w:rsidTr="000D57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5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D738E04" w14:textId="77777777" w:rsidR="000D5712" w:rsidRPr="00BE2958" w:rsidRDefault="000D5712" w:rsidP="001901B8">
            <w:r w:rsidRPr="00BE2958">
              <w:rPr>
                <w:b/>
                <w:bCs/>
              </w:rPr>
              <w:lastRenderedPageBreak/>
              <w:t>Between-Subjects Factors</w:t>
            </w:r>
          </w:p>
        </w:tc>
      </w:tr>
      <w:tr w:rsidR="000D5712" w:rsidRPr="00BE2958" w14:paraId="6A40223F" w14:textId="77777777" w:rsidTr="000D57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5B34DE6" w14:textId="77777777" w:rsidR="000D5712" w:rsidRPr="00BE2958" w:rsidRDefault="000D5712" w:rsidP="001901B8"/>
        </w:tc>
        <w:tc>
          <w:tcPr>
            <w:tcW w:w="720" w:type="dxa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AC0485F" w14:textId="77777777" w:rsidR="000D5712" w:rsidRPr="00BE2958" w:rsidRDefault="000D5712" w:rsidP="001901B8"/>
        </w:tc>
        <w:tc>
          <w:tcPr>
            <w:tcW w:w="126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7DA539DA" w14:textId="77777777" w:rsidR="000D5712" w:rsidRPr="00BE2958" w:rsidRDefault="000D5712" w:rsidP="001901B8">
            <w:r w:rsidRPr="00BE2958">
              <w:t>Value Label</w:t>
            </w:r>
          </w:p>
        </w:tc>
        <w:tc>
          <w:tcPr>
            <w:tcW w:w="99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</w:tcPr>
          <w:p w14:paraId="46A95C20" w14:textId="77777777" w:rsidR="000D5712" w:rsidRPr="00BE2958" w:rsidRDefault="000D5712" w:rsidP="001901B8">
            <w:r w:rsidRPr="00BE2958">
              <w:t>N</w:t>
            </w:r>
          </w:p>
        </w:tc>
      </w:tr>
      <w:tr w:rsidR="000D5712" w:rsidRPr="00BE2958" w14:paraId="36DC0F37" w14:textId="77777777" w:rsidTr="000D57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96EB6EF" w14:textId="77777777" w:rsidR="000D5712" w:rsidRPr="00BE2958" w:rsidRDefault="000D5712" w:rsidP="001901B8">
            <w:proofErr w:type="spellStart"/>
            <w:r w:rsidRPr="00BE2958">
              <w:t>Metode</w:t>
            </w:r>
            <w:proofErr w:type="spellEnd"/>
            <w:r w:rsidRPr="00BE2958">
              <w:t xml:space="preserve"> </w:t>
            </w:r>
            <w:proofErr w:type="spellStart"/>
            <w:r w:rsidRPr="00BE2958">
              <w:t>Pembelajaran</w:t>
            </w:r>
            <w:proofErr w:type="spellEnd"/>
          </w:p>
        </w:tc>
        <w:tc>
          <w:tcPr>
            <w:tcW w:w="72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CC5D0" w14:textId="77777777" w:rsidR="000D5712" w:rsidRPr="00BE2958" w:rsidRDefault="000D5712" w:rsidP="001901B8">
            <w:r w:rsidRPr="00BE2958">
              <w:t>1</w:t>
            </w:r>
          </w:p>
        </w:tc>
        <w:tc>
          <w:tcPr>
            <w:tcW w:w="126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EDB858" w14:textId="77777777" w:rsidR="000D5712" w:rsidRPr="00BE2958" w:rsidRDefault="000D5712" w:rsidP="001901B8">
            <w:proofErr w:type="spellStart"/>
            <w:r w:rsidRPr="00BE2958">
              <w:t>Metode</w:t>
            </w:r>
            <w:proofErr w:type="spellEnd"/>
            <w:r w:rsidRPr="00BE2958">
              <w:t xml:space="preserve"> </w:t>
            </w:r>
            <w:proofErr w:type="spellStart"/>
            <w:r w:rsidRPr="00BE2958">
              <w:t>Langsung</w:t>
            </w:r>
            <w:proofErr w:type="spellEnd"/>
          </w:p>
        </w:tc>
        <w:tc>
          <w:tcPr>
            <w:tcW w:w="99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04C5E482" w14:textId="77777777" w:rsidR="000D5712" w:rsidRPr="00BE2958" w:rsidRDefault="000D5712" w:rsidP="001901B8">
            <w:r w:rsidRPr="00BE2958">
              <w:t>20</w:t>
            </w:r>
          </w:p>
        </w:tc>
      </w:tr>
      <w:tr w:rsidR="000D5712" w:rsidRPr="00BE2958" w14:paraId="7E144B04" w14:textId="77777777" w:rsidTr="000D57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08F77" w14:textId="77777777" w:rsidR="000D5712" w:rsidRPr="00BE2958" w:rsidRDefault="000D5712" w:rsidP="001901B8"/>
        </w:tc>
        <w:tc>
          <w:tcPr>
            <w:tcW w:w="72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CCA3F1" w14:textId="77777777" w:rsidR="000D5712" w:rsidRPr="00BE2958" w:rsidRDefault="000D5712" w:rsidP="001901B8">
            <w:r w:rsidRPr="00BE2958">
              <w:t>2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1BBA3AFB" w14:textId="77777777" w:rsidR="000D5712" w:rsidRPr="00BE2958" w:rsidRDefault="000D5712" w:rsidP="001901B8">
            <w:r w:rsidRPr="00BE2958">
              <w:t xml:space="preserve">Tata Bahasa </w:t>
            </w:r>
            <w:proofErr w:type="spellStart"/>
            <w:r w:rsidRPr="00BE2958">
              <w:t>Terjemah</w:t>
            </w:r>
            <w:proofErr w:type="spellEnd"/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52756E46" w14:textId="77777777" w:rsidR="000D5712" w:rsidRPr="00BE2958" w:rsidRDefault="000D5712" w:rsidP="001901B8">
            <w:r w:rsidRPr="00BE2958">
              <w:t>20</w:t>
            </w:r>
          </w:p>
        </w:tc>
      </w:tr>
      <w:tr w:rsidR="000D5712" w:rsidRPr="00BE2958" w14:paraId="7B16BC94" w14:textId="77777777" w:rsidTr="000D5712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100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8EE59E" w14:textId="77777777" w:rsidR="000D5712" w:rsidRPr="00BE2958" w:rsidRDefault="000D5712" w:rsidP="001901B8">
            <w:proofErr w:type="spellStart"/>
            <w:r w:rsidRPr="00BE2958">
              <w:t>Tipe</w:t>
            </w:r>
            <w:proofErr w:type="spellEnd"/>
            <w:r w:rsidRPr="00BE2958">
              <w:t xml:space="preserve"> </w:t>
            </w:r>
            <w:proofErr w:type="spellStart"/>
            <w:r w:rsidRPr="00BE2958">
              <w:t>Kepribadian</w:t>
            </w:r>
            <w:proofErr w:type="spell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0BC054" w14:textId="77777777" w:rsidR="000D5712" w:rsidRPr="00BE2958" w:rsidRDefault="000D5712" w:rsidP="001901B8">
            <w:r w:rsidRPr="00BE2958">
              <w:t>1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1DE3FF1" w14:textId="77777777" w:rsidR="000D5712" w:rsidRPr="00BE2958" w:rsidRDefault="000D5712" w:rsidP="001901B8">
            <w:r w:rsidRPr="00BE2958">
              <w:t>Introvert</w:t>
            </w:r>
          </w:p>
        </w:tc>
        <w:tc>
          <w:tcPr>
            <w:tcW w:w="99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647C9D5" w14:textId="77777777" w:rsidR="000D5712" w:rsidRPr="00BE2958" w:rsidRDefault="000D5712" w:rsidP="001901B8">
            <w:r w:rsidRPr="00BE2958">
              <w:t>20</w:t>
            </w:r>
          </w:p>
        </w:tc>
      </w:tr>
      <w:tr w:rsidR="000D5712" w:rsidRPr="00BE2958" w14:paraId="3F52B9F4" w14:textId="77777777" w:rsidTr="000D571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00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4D6F8E" w14:textId="77777777" w:rsidR="000D5712" w:rsidRPr="00BE2958" w:rsidRDefault="000D5712" w:rsidP="001901B8"/>
        </w:tc>
        <w:tc>
          <w:tcPr>
            <w:tcW w:w="72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BD62BE" w14:textId="77777777" w:rsidR="000D5712" w:rsidRPr="00BE2958" w:rsidRDefault="000D5712" w:rsidP="001901B8">
            <w:r w:rsidRPr="00BE2958">
              <w:t>2</w:t>
            </w:r>
          </w:p>
        </w:tc>
        <w:tc>
          <w:tcPr>
            <w:tcW w:w="126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7F81E9C9" w14:textId="77777777" w:rsidR="000D5712" w:rsidRPr="00BE2958" w:rsidRDefault="000D5712" w:rsidP="001901B8">
            <w:r w:rsidRPr="00BE2958">
              <w:t>Extrovert</w:t>
            </w:r>
          </w:p>
        </w:tc>
        <w:tc>
          <w:tcPr>
            <w:tcW w:w="99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5F2D143" w14:textId="77777777" w:rsidR="000D5712" w:rsidRPr="00BE2958" w:rsidRDefault="000D5712" w:rsidP="001901B8">
            <w:r w:rsidRPr="00BE2958">
              <w:t>20</w:t>
            </w:r>
          </w:p>
        </w:tc>
      </w:tr>
    </w:tbl>
    <w:p w14:paraId="6A575CAA" w14:textId="0DFAA2ED" w:rsidR="00B368C8" w:rsidRDefault="00B368C8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63491804" w14:textId="1AFE578D" w:rsidR="00DF7465" w:rsidRDefault="00DF7465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7371D">
        <w:rPr>
          <w:rFonts w:ascii="Times New Roman" w:hAnsi="Times New Roman" w:cs="Times New Roman"/>
          <w:i/>
          <w:iCs/>
          <w:sz w:val="24"/>
          <w:szCs w:val="24"/>
        </w:rPr>
        <w:t>Between Subject Factor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tata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introvert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ekstrovert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8172E4" w14:textId="58215CE8" w:rsidR="00DF7465" w:rsidRDefault="00DF7465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12F62672" w14:textId="35264474" w:rsidR="00DF7465" w:rsidRDefault="00DF7465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F7465">
        <w:rPr>
          <w:rFonts w:ascii="Times New Roman" w:hAnsi="Times New Roman" w:cs="Times New Roman"/>
          <w:b/>
          <w:bCs/>
          <w:sz w:val="24"/>
          <w:szCs w:val="24"/>
        </w:rPr>
        <w:t>Desriptif</w:t>
      </w:r>
      <w:proofErr w:type="spellEnd"/>
      <w:r w:rsidRPr="00DF74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F7465">
        <w:rPr>
          <w:rFonts w:ascii="Times New Roman" w:hAnsi="Times New Roman" w:cs="Times New Roman"/>
          <w:b/>
          <w:bCs/>
          <w:sz w:val="24"/>
          <w:szCs w:val="24"/>
        </w:rPr>
        <w:t>Statistik</w:t>
      </w:r>
      <w:proofErr w:type="spellEnd"/>
    </w:p>
    <w:p w14:paraId="554F47A7" w14:textId="77777777" w:rsidR="00895482" w:rsidRDefault="00895482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46E07" w14:textId="45CCEE2B" w:rsidR="00895482" w:rsidRDefault="00895482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37371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1D9C9DA" wp14:editId="7B218F0D">
            <wp:extent cx="5397777" cy="1625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83FA" w14:textId="77777777" w:rsidR="00895482" w:rsidRDefault="00895482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C3749B0" w14:textId="58EAA9EA" w:rsidR="00895482" w:rsidRDefault="00895482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895482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A7CE0E" wp14:editId="7798A3FB">
            <wp:extent cx="4896102" cy="262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8CE" w14:textId="740D04CE" w:rsidR="00895482" w:rsidRDefault="00895482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proofErr w:type="spellStart"/>
      <w:r>
        <w:rPr>
          <w:rFonts w:ascii="Times New Roman" w:hAnsi="Times New Roman" w:cs="Times New Roman"/>
          <w:sz w:val="24"/>
          <w:szCs w:val="24"/>
        </w:rPr>
        <w:t>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Tata Bahasa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Terjemah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SPSS </w:t>
      </w:r>
      <w:proofErr w:type="spellStart"/>
      <w:r w:rsidR="00684A1C">
        <w:rPr>
          <w:rFonts w:ascii="Times New Roman" w:hAnsi="Times New Roman" w:cs="Times New Roman"/>
          <w:sz w:val="24"/>
          <w:szCs w:val="24"/>
        </w:rPr>
        <w:t>sebesaar</w:t>
      </w:r>
      <w:proofErr w:type="spellEnd"/>
      <w:r w:rsidR="00684A1C">
        <w:rPr>
          <w:rFonts w:ascii="Times New Roman" w:hAnsi="Times New Roman" w:cs="Times New Roman"/>
          <w:sz w:val="24"/>
          <w:szCs w:val="24"/>
        </w:rPr>
        <w:t xml:space="preserve"> 0,109 &gt; 0,05.</w:t>
      </w:r>
    </w:p>
    <w:p w14:paraId="327E4374" w14:textId="30EE9348" w:rsidR="00684A1C" w:rsidRDefault="00684A1C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B94F856" w14:textId="13B26AFA" w:rsidR="00684A1C" w:rsidRDefault="00684A1C" w:rsidP="00B368C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684A1C">
        <w:rPr>
          <w:rFonts w:ascii="Times New Roman" w:hAnsi="Times New Roman" w:cs="Times New Roman"/>
          <w:b/>
          <w:bCs/>
          <w:sz w:val="24"/>
          <w:szCs w:val="24"/>
        </w:rPr>
        <w:t>Kesimpulan:</w:t>
      </w:r>
    </w:p>
    <w:p w14:paraId="3EBEC313" w14:textId="735F7656" w:rsidR="00684A1C" w:rsidRDefault="00684A1C" w:rsidP="00684A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</w:t>
      </w:r>
      <w:r w:rsidR="00D64939">
        <w:rPr>
          <w:rFonts w:ascii="Times New Roman" w:hAnsi="Times New Roman" w:cs="Times New Roman"/>
          <w:sz w:val="24"/>
          <w:szCs w:val="24"/>
        </w:rPr>
        <w:t>044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0,05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MAN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introvert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4939">
        <w:rPr>
          <w:rFonts w:ascii="Times New Roman" w:hAnsi="Times New Roman" w:cs="Times New Roman"/>
          <w:sz w:val="24"/>
          <w:szCs w:val="24"/>
        </w:rPr>
        <w:t>ekstrovert</w:t>
      </w:r>
      <w:proofErr w:type="spellEnd"/>
      <w:r w:rsidR="00D64939">
        <w:rPr>
          <w:rFonts w:ascii="Times New Roman" w:hAnsi="Times New Roman" w:cs="Times New Roman"/>
          <w:sz w:val="24"/>
          <w:szCs w:val="24"/>
        </w:rPr>
        <w:t>.</w:t>
      </w:r>
    </w:p>
    <w:p w14:paraId="10DADB0C" w14:textId="6DD5B2A7" w:rsidR="00917D21" w:rsidRDefault="00D64939" w:rsidP="00684A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0,</w:t>
      </w:r>
      <w:r w:rsidR="00917D21">
        <w:rPr>
          <w:rFonts w:ascii="Times New Roman" w:hAnsi="Times New Roman" w:cs="Times New Roman"/>
          <w:sz w:val="24"/>
          <w:szCs w:val="24"/>
        </w:rPr>
        <w:t>224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D21">
        <w:rPr>
          <w:rFonts w:ascii="Times New Roman" w:hAnsi="Times New Roman" w:cs="Times New Roman"/>
          <w:sz w:val="24"/>
          <w:szCs w:val="24"/>
        </w:rPr>
        <w:t xml:space="preserve">&gt; 0,05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 xml:space="preserve"> tata Bahasa </w:t>
      </w:r>
      <w:proofErr w:type="spellStart"/>
      <w:r w:rsidR="00917D21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="00917D21">
        <w:rPr>
          <w:rFonts w:ascii="Times New Roman" w:hAnsi="Times New Roman" w:cs="Times New Roman"/>
          <w:sz w:val="24"/>
          <w:szCs w:val="24"/>
        </w:rPr>
        <w:t>.</w:t>
      </w:r>
    </w:p>
    <w:p w14:paraId="20C3B117" w14:textId="72CB0D5F" w:rsidR="00D64939" w:rsidRPr="00684A1C" w:rsidRDefault="00917D21" w:rsidP="00684A1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1F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signifikasi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0,183. Hal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0,183 &gt; 0,05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1F9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C71F9">
        <w:rPr>
          <w:rFonts w:ascii="Times New Roman" w:hAnsi="Times New Roman" w:cs="Times New Roman"/>
          <w:sz w:val="24"/>
          <w:szCs w:val="24"/>
        </w:rPr>
        <w:t xml:space="preserve"> MAN.</w:t>
      </w:r>
    </w:p>
    <w:sectPr w:rsidR="00D64939" w:rsidRPr="00684A1C" w:rsidSect="00C84D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567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D1B19E" w14:textId="77777777" w:rsidR="00D56DBC" w:rsidRDefault="004C71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97DBFD" w14:textId="77777777" w:rsidR="00D56DBC" w:rsidRDefault="004C71F9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8BA"/>
    <w:multiLevelType w:val="hybridMultilevel"/>
    <w:tmpl w:val="BE402D0A"/>
    <w:lvl w:ilvl="0" w:tplc="E2E2AC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34722"/>
    <w:multiLevelType w:val="hybridMultilevel"/>
    <w:tmpl w:val="263C29DE"/>
    <w:lvl w:ilvl="0" w:tplc="748693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BA491B"/>
    <w:multiLevelType w:val="hybridMultilevel"/>
    <w:tmpl w:val="8EBEA0F4"/>
    <w:lvl w:ilvl="0" w:tplc="D340C90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DF248B"/>
    <w:multiLevelType w:val="hybridMultilevel"/>
    <w:tmpl w:val="F53EDE0E"/>
    <w:lvl w:ilvl="0" w:tplc="7700D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E07EE6"/>
    <w:multiLevelType w:val="hybridMultilevel"/>
    <w:tmpl w:val="9D80C27A"/>
    <w:lvl w:ilvl="0" w:tplc="0E10D1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792538"/>
    <w:multiLevelType w:val="hybridMultilevel"/>
    <w:tmpl w:val="569C11EC"/>
    <w:lvl w:ilvl="0" w:tplc="82FEA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B0BB7"/>
    <w:multiLevelType w:val="hybridMultilevel"/>
    <w:tmpl w:val="FADEB828"/>
    <w:lvl w:ilvl="0" w:tplc="04EE9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F392B"/>
    <w:multiLevelType w:val="hybridMultilevel"/>
    <w:tmpl w:val="DAD81660"/>
    <w:lvl w:ilvl="0" w:tplc="38D0D1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16659639">
    <w:abstractNumId w:val="3"/>
  </w:num>
  <w:num w:numId="2" w16cid:durableId="1450782438">
    <w:abstractNumId w:val="2"/>
  </w:num>
  <w:num w:numId="3" w16cid:durableId="1675569347">
    <w:abstractNumId w:val="7"/>
  </w:num>
  <w:num w:numId="4" w16cid:durableId="166095150">
    <w:abstractNumId w:val="1"/>
  </w:num>
  <w:num w:numId="5" w16cid:durableId="1774594688">
    <w:abstractNumId w:val="4"/>
  </w:num>
  <w:num w:numId="6" w16cid:durableId="1365591941">
    <w:abstractNumId w:val="0"/>
  </w:num>
  <w:num w:numId="7" w16cid:durableId="2062289139">
    <w:abstractNumId w:val="6"/>
  </w:num>
  <w:num w:numId="8" w16cid:durableId="1738747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C8"/>
    <w:rsid w:val="000D5712"/>
    <w:rsid w:val="00147E2B"/>
    <w:rsid w:val="00157960"/>
    <w:rsid w:val="00252D18"/>
    <w:rsid w:val="00277E17"/>
    <w:rsid w:val="0037371D"/>
    <w:rsid w:val="004C71F9"/>
    <w:rsid w:val="00684A1C"/>
    <w:rsid w:val="00865FD5"/>
    <w:rsid w:val="00895482"/>
    <w:rsid w:val="009025B2"/>
    <w:rsid w:val="00917D21"/>
    <w:rsid w:val="00A45630"/>
    <w:rsid w:val="00B368C8"/>
    <w:rsid w:val="00D64939"/>
    <w:rsid w:val="00DF7465"/>
    <w:rsid w:val="00E9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74AC"/>
  <w15:chartTrackingRefBased/>
  <w15:docId w15:val="{BB8D97B0-C17C-4372-A2C1-AE2BB5B62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8C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36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C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Flex 5</dc:creator>
  <cp:keywords/>
  <dc:description/>
  <cp:lastModifiedBy>Lenovo Flex 5</cp:lastModifiedBy>
  <cp:revision>3</cp:revision>
  <dcterms:created xsi:type="dcterms:W3CDTF">2022-06-02T17:41:00Z</dcterms:created>
  <dcterms:modified xsi:type="dcterms:W3CDTF">2022-06-02T19:10:00Z</dcterms:modified>
</cp:coreProperties>
</file>