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60" w:after="80"/>
      </w:pPr>
      <w:r>
        <w:rPr>
          <w:rFonts w:ascii="맑은 고딕" w:eastAsia="맑은 고딕"/>
          <w:b/>
          <w:sz w:val="24"/>
          <w:color w:val="0E1E38"/>
        </w:rPr>
        <w:t>[붙임 2]</w:t>
      </w:r>
    </w:p>
    <w:p>
      <w:pPr>
        <w:spacing w:after="140"/>
        <w:pBdr>
          <w:bottom w:val="single" w:sz="14" w:space="8" w:color="0E1E38"/>
        </w:pBdr>
      </w:pPr>
      <w:r>
        <w:rPr>
          <w:rFonts w:ascii="맑은 고딕" w:eastAsia="맑은 고딕"/>
          <w:b/>
          <w:sz w:val="28"/>
          <w:color w:val="0E1E38"/>
        </w:rPr>
        <w:t>리틀포레스트 봉뜨락 시설 개선 및 지원 — 항목별 소요 예산 및 견적 집계표</w:t>
      </w:r>
    </w:p>
    <w:p>
      <w:pPr>
        <w:spacing w:after="120"/>
        <w:rPr>
          <w:rFonts w:ascii="맑은 고딕" w:eastAsia="맑은 고딕"/>
          <w:i/>
          <w:sz w:val="18"/>
          <w:color w:val="555555"/>
        </w:rPr>
      </w:pPr>
      <w:r>
        <w:rPr>
          <w:rFonts w:ascii="맑은 고딕" w:eastAsia="맑은 고딕"/>
          <w:i/>
          <w:sz w:val="18"/>
          <w:color w:val="555555"/>
        </w:rPr>
        <w:t>※ 본 집계표는 6회 유찰 공공자산 정상화를 위해 군-낙찰자 간 합리적 역할 분담 및 군정 선례 준용을 바탕으로 작성되었습니다. 각 세부 항목별 시공업체 공식 견적서 및 비교견적서는 본 서식 뒤에 별첨합니다.</w:t>
      </w:r>
    </w:p>
    <!-- Table -->
    <w:tbl>
      <w:tblPr>
        <w:tblW w:w="9200" w:type="dxa"/>
        <w:tblBorders>
          <w:top w:val="single" w:sz="10" w:space="0" w:color="0E1E38"/>
          <w:left w:val="single" w:sz="4" w:space="0" w:color="CCCCCC"/>
          <w:bottom w:val="single" w:sz="10" w:space="0" w:color="0E1E38"/>
          <w:right w:val="single" w:sz="4" w:space="0" w:color="CCCCCC"/>
          <w:insideH w:val="single" w:sz="4" w:space="0" w:color="E0E0E0"/>
          <w:insideV w:val="single" w:sz="4" w:space="0" w:color="E0E0E0"/>
        </w:tblBorders>
      </w:tblPr>
      <!-- Header Row -->
      <w:tr>
        <w:tc>
          <w:tcPr>
            <w:tcW w:w="600" w:type="dxa"/>
            <w:shd w:val="clear" w:color="auto" w:fill="F4F6F9"/>
          </w:tcPr>
          <w:p>
            <w:pPr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연번</w:t>
            </w:r>
          </w:p>
        </w:tc>
        <w:tc>
          <w:tcPr>
            <w:tcW w:w="2800" w:type="dxa"/>
            <w:shd w:val="clear" w:color="auto" w:fill="F4F6F9"/>
          </w:tcPr>
          <w:p>
            <w:pPr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항목 및 조치 내용</w:t>
            </w:r>
          </w:p>
        </w:tc>
        <w:tc>
          <w:tcPr>
            <w:tcW w:w="1600" w:type="dxa"/>
            <w:shd w:val="clear" w:color="auto" w:fill="F4F6F9"/>
          </w:tcPr>
          <w:p>
            <w:pPr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조치/부담 구분</w:t>
            </w:r>
          </w:p>
        </w:tc>
        <w:tc>
          <w:tcPr>
            <w:tcW w:w="1800" w:type="dxa"/>
            <w:shd w:val="clear" w:color="auto" w:fill="F4F6F9"/>
          </w:tcPr>
          <w:p>
            <w:pPr>
              <w:jc w:val="center"/>
            </w:pPr>
            <w:r>
              <w:rPr>
                <w:rFonts w:ascii="맑은 고딕" w:eastAsia="맑은 고딕"/>
                <w:b/>
                <w:sz w:val="18"/>
              </w:rPr>
              <w:t>견적·예상액(원)</w:t>
            </w:r>
          </w:p>
        </w:tc>
        <w:tc>
          <w:tcPr>
            <w:tcW w:w="2400" w:type="dxa"/>
            <w:shd w:val="clear" w:color="auto" w:fill="F4F6F9"/>
          </w:tcPr>
          <w:p>
            <w:pPr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행정 근거 및 기대 효과</w:t>
            </w:r>
          </w:p>
        </w:tc>
      </w:tr>
      <!-- Group A Header -->
      <w:tr>
        <w:tc>
          <w:tcPr>
            <w:gridSpan w:val="5"/>
            <w:shd w:val="clear" w:color="auto" w:fill="EBF3F1"/>
          </w:tcPr>
          <w:p>
            <w:pPr>
              <w:spacing w:before="60" w:after="60"/>
            </w:pPr>
            <w:r>
              <w:rPr>
                <w:rFonts w:ascii="맑은 고딕" w:eastAsia="맑은 고딕"/>
                <w:b/>
                <w:sz w:val="18"/>
                <w:color w:val="165B4F"/>
              </w:rPr>
              <w:t>【가. 봉화군청 기반시설 하자보수 및 시설 보강 요청 항목】 (특약 제8조제3항 군수 의무)</w:t>
            </w:r>
          </w:p>
        </w:tc>
      </w:tr>
      <!-- Row 1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야외 수도·스프링클러 배관 점검 및 수리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직접 조치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(실측 후 산정)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특약 제8조제3항 (상하수도·배관 수리)</w:t>
            </w:r>
          </w:p>
        </w:tc>
      </w:tr>
      <!-- Row 2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2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외부 우수 배수구 안전 그물망 커버 설치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직접 조치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(실측 후 산정)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영유아 발빠짐 골절 및 영조물 배상 방지</w:t>
            </w:r>
          </w:p>
        </w:tc>
      </w:tr>
      <!-- Row 3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3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매표소~실내시설 동선 친환경 투수성 포장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직접 조치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(실측 후 산정)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특약 제8조제3항 (토목 기반시설 정비)</w:t>
            </w:r>
          </w:p>
        </w:tc>
      </w:tr>
      <!-- Row 4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4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야간 조명시설 및 보안등 추가 설치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직접 조치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(실측 후 산정)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특약 제8조제3항 (전기 인프라 보수)</w:t>
            </w:r>
          </w:p>
        </w:tc>
      </w:tr>
      <!-- Row 5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5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야외 사각지대 방범·안전 감시 CCTV 증설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직접 조치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(실측 후 산정)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짚코스터·네트 사각지대 해소 관제 인프라</w:t>
            </w:r>
          </w:p>
        </w:tc>
      </w:tr>
      <!-- Row 6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6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입구 대형 제진·발털이 매트 설치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1,800,000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실내 쿠션바닥 보호 및 슬립 낙상 방지</w:t>
            </w:r>
          </w:p>
        </w:tc>
      </w:tr>
      <!-- Row 7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7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공공 응급의료장비(자동심장충격기 AED, 응급키트)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165B4F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2,500,000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응급의료법 제47조의2 및 골든타임 확보</w:t>
            </w:r>
          </w:p>
        </w:tc>
      </w:tr>
      <!-- Group B Header -->
      <w:tr>
        <w:tc>
          <w:tcPr>
            <w:gridSpan w:val="5"/>
            <w:shd w:val="clear" w:color="auto" w:fill="EBF0F8"/>
          </w:tcPr>
          <w:p>
            <w:pPr>
              <w:spacing w:before="60" w:after="60"/>
            </w:pPr>
            <w:r>
              <w:rPr>
                <w:rFonts w:ascii="맑은 고딕" w:eastAsia="맑은 고딕"/>
                <w:b/>
                <w:sz w:val="18"/>
                <w:color w:val="0E1E38"/>
              </w:rPr>
              <w:t>【나. 시설 조기 활성화 및 운영 장비 지원 요청 항목】 (군 직전 단독낙찰 선례 준용 지원)</w:t>
            </w:r>
          </w:p>
        </w:tc>
      </w:tr>
      <!-- Row 8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8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실내동 헤리티지 문화·전시 인테리어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18,000,000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승마훈련장 역사 공공 전시실 명분 집행</w:t>
            </w:r>
          </w:p>
        </w:tc>
      </w:tr>
      <!-- Row 9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9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카페 식음 집기(에스프레소 머신, 제빙기 등)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12,000,000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군 직전 선례 동일 준용, 손익분기점(BEP) 19,435명 인하</w:t>
            </w:r>
          </w:p>
        </w:tc>
      </w:tr>
      <!-- Row 10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10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어린이 짚라인 안전 하네스 추가 구비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3,500,000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성수기 탑승 대기 해소 및 KC안전인증 규격</w:t>
            </w:r>
          </w:p>
        </w:tc>
      </w:tr>
      <!-- Row 11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11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성인 안전장비 확충 (기존 4개→10세트 완비)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3,000,000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대기자 사전착용 회전율 2.5배 및 세탁순환</w:t>
            </w:r>
          </w:p>
        </w:tc>
      </w:tr>
      <!-- Row 12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12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공식 온라인 모바일 예약 웹 구축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4,500,000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정원 통제 예약 및 군 관광포털 연계</w:t>
            </w:r>
          </w:p>
        </w:tc>
      </w:tr>
      <!-- Row 13 (NEW)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13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대형 놀이시설 전용 청소·위생용구(산업용 진공청소기 등)(산업용 진공청소기 등)(산업용 진공청소기 등) (신규)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0E1E38"/>
              </w:rPr>
              <w:t>군 지원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2,200,000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924㎡ 대공간 방역 및 영유아 위생 관리</w:t>
            </w:r>
          </w:p>
        </w:tc>
      </w:tr>
      <!-- Group C Header -->
      <w:tr>
        <w:tc>
          <w:tcPr>
            <w:gridSpan w:val="5"/>
            <w:shd w:val="clear" w:color="auto" w:fill="FFF1F0"/>
          </w:tcPr>
          <w:p>
            <w:pPr>
              <w:spacing w:before="60" w:after="60"/>
            </w:pPr>
            <w:r>
              <w:rPr>
                <w:rFonts w:ascii="맑은 고딕" w:eastAsia="맑은 고딕"/>
                <w:b/>
                <w:sz w:val="18"/>
                <w:color w:val="FF6B57"/>
              </w:rPr>
              <w:t>【다. 낙찰자 시설물 설치 및 공간 활용 '사전승인' 신청 항목】 (낙찰자 자부담)</w:t>
            </w:r>
          </w:p>
        </w:tc>
      </w:tr>
      <!-- Row 14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14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매표소~실내 입장 통제 자동 게이트 설치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FF6B57"/>
              </w:rPr>
              <w:t>낙찰자 자부담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(설치 견적 첨부)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특약 제7조제1항 (사전승인 신청)</w:t>
            </w:r>
          </w:p>
        </w:tc>
      </w:tr>
      <!-- Row 15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15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트램펄린 외부 추락 방지 안전 도어 보강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FF6B57"/>
              </w:rPr>
              <w:t>낙찰자 자부담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(보강 견적 첨부)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어린이놀이시설법 안전검사 기준 충족</w:t>
            </w:r>
          </w:p>
        </w:tc>
      </w:tr>
      <!-- Row 16 -->
      <w:tr>
        <w:tc>
          <w:p>
            <w:pPr>
              <w:jc w:val="center"/>
            </w:pPr>
            <w:r>
              <w:rPr>
                <w:rFonts w:ascii="맑은 고딕" w:eastAsia="맑은 고딕"/>
                <w:sz w:val="17"/>
              </w:rPr>
              <w:t>16</w:t>
            </w:r>
          </w:p>
        </w:tc>
        <w:tc>
          <w:p>
            <w:r>
              <w:rPr>
                <w:rFonts w:ascii="맑은 고딕" w:eastAsia="맑은 고딕"/>
                <w:sz w:val="17"/>
              </w:rPr>
              <w:t>물품보관함, POP·종합안내판·현수막 게시대</w:t>
            </w:r>
          </w:p>
        </w:tc>
        <w:tc>
          <w:p>
            <w:pPr>
              <w:jc w:val="center"/>
            </w:pPr>
            <w:r>
              <w:rPr>
                <w:rFonts w:ascii="맑은 고딕" w:eastAsia="맑은 고딕"/>
                <w:sz w:val="17"/>
                <w:color w:val="FF6B57"/>
              </w:rPr>
              <w:t>낙찰자 자부담</w:t>
            </w:r>
          </w:p>
        </w:tc>
        <w:tc>
          <w:p>
            <w:pPr>
              <w:jc w:val="right"/>
            </w:pPr>
            <w:r>
              <w:rPr>
                <w:rFonts w:ascii="맑은 고딕" w:eastAsia="맑은 고딕"/>
                <w:sz w:val="17"/>
              </w:rPr>
              <w:t>(제작 견적 첨부)</w:t>
            </w:r>
          </w:p>
        </w:tc>
        <w:tc>
          <w:p>
            <w:r>
              <w:rPr>
                <w:rFonts w:ascii="맑은 고딕" w:eastAsia="맑은 고딕"/>
                <w:sz w:val="16"/>
                <w:color w:val="555555"/>
              </w:rPr>
              <w:t>특약 제9조 (옥외광고물 등 사전 승인)</w:t>
            </w:r>
          </w:p>
        </w:tc>
      </w:tr>
    </w:tbl>
    <!-- Financial Summary Box -->
    <w:p>
      <w:pPr>
        <w:spacing w:before="140" w:after="80"/>
        <w:rPr>
          <w:rFonts w:ascii="맑은 고딕" w:eastAsia="맑은 고딕"/>
          <w:b/>
          <w:sz w:val="20"/>
          <w:color w:val="0E1E38"/>
        </w:rPr>
      </w:pPr>
      <w:r>
        <w:rPr>
          <w:rFonts w:ascii="맑은 고딕" w:eastAsia="맑은 고딕"/>
          <w:b/>
          <w:sz w:val="20"/>
          <w:color w:val="0E1E38"/>
        </w:rPr>
        <w:t>【재 정 및 역 할 분 담 총 계】</w:t>
      </w:r>
    </w:p>
    <w:p>
      <w:pPr>
        <w:ind w:left="300"/>
        <w:spacing w:after="40" w:line="280"/>
        <w:rPr>
          <w:rFonts w:ascii="맑은 고딕" w:eastAsia="맑은 고딕"/>
          <w:sz w:val="18"/>
        </w:rPr>
      </w:pPr>
      <w:r>
        <w:rPr>
          <w:rFonts w:ascii="맑은 고딕" w:eastAsia="맑은 고딕"/>
          <w:b/>
          <w:sz w:val="18"/>
          <w:color w:val="165B4F"/>
        </w:rPr>
        <w:t>1. 군 직접 조치 (1~5번 기반시설) : </w:t>
      </w:r>
      <w:r>
        <w:rPr>
          <w:rFonts w:ascii="맑은 고딕" w:eastAsia="맑은 고딕"/>
          <w:sz w:val="18"/>
        </w:rPr>
        <w:t>군청 담당 부서 현장 실측 및 관급 발주에 의함 (특약 제8조제3항)</w:t>
      </w:r>
    </w:p>
    <w:p>
      <w:pPr>
        <w:ind w:left="300"/>
        <w:spacing w:after="40" w:line="280"/>
        <w:rPr>
          <w:rFonts w:ascii="맑은 고딕" w:eastAsia="맑은 고딕"/>
          <w:sz w:val="18"/>
        </w:rPr>
      </w:pPr>
      <w:r>
        <w:rPr>
          <w:rFonts w:ascii="맑은 고딕" w:eastAsia="맑은 고딕"/>
          <w:b/>
          <w:sz w:val="18"/>
          <w:color w:val="0E1E38"/>
        </w:rPr>
        <w:t>2. 군 활성화 지원 (6~13번 합계) : </w:t>
      </w:r>
      <w:r>
        <w:rPr>
          <w:rFonts w:ascii="맑은 고딕" w:eastAsia="맑은 고딕"/>
          <w:b/>
          <w:sz w:val="18"/>
          <w:color w:val="0E1E38"/>
        </w:rPr>
        <w:t>일금 사천칠백오십만원정 (47,500,000원, VAT별도) </w:t>
      </w:r>
      <w:r>
        <w:rPr>
          <w:rFonts w:ascii="맑은 고딕" w:eastAsia="맑은 고딕"/>
          <w:sz w:val="18"/>
          <w:color w:val="666666"/>
        </w:rPr>
        <w:t>[선례 준용 지원 건의]</w:t>
      </w:r>
    </w:p>
    <w:p>
      <w:pPr>
        <w:ind w:left="300"/>
        <w:spacing w:after="160" w:line="280"/>
        <w:rPr>
          <w:rFonts w:ascii="맑은 고딕" w:eastAsia="맑은 고딕"/>
          <w:sz w:val="18"/>
        </w:rPr>
      </w:pPr>
      <w:r>
        <w:rPr>
          <w:rFonts w:ascii="맑은 고딕" w:eastAsia="맑은 고딕"/>
          <w:b/>
          <w:sz w:val="18"/>
          <w:color w:val="FF6B57"/>
        </w:rPr>
        <w:t>3. 낙찰자 자체 부담 (14~16번 합계) : </w:t>
      </w:r>
      <w:r>
        <w:rPr>
          <w:rFonts w:ascii="맑은 고딕" w:eastAsia="맑은 고딕"/>
          <w:b/>
          <w:sz w:val="18"/>
          <w:color w:val="FF6B57"/>
        </w:rPr>
        <w:t>일금 일천오백만원 내외 (약 15,000,000원, VAT별도) </w:t>
      </w:r>
      <w:r>
        <w:rPr>
          <w:rFonts w:ascii="맑은 고딕" w:eastAsia="맑은 고딕"/>
          <w:sz w:val="18"/>
          <w:color w:val="666666"/>
        </w:rPr>
        <w:t>[자부담 즉시 집행]</w:t>
      </w:r>
    </w:p>
    <!-- Signer -->
    <w:p>
      <w:pPr>
        <w:jc w:val="center"/>
        <w:spacing w:before="200" w:after="140"/>
      </w:pPr>
      <w:r>
        <w:rPr>
          <w:rFonts w:ascii="맑은 고딕" w:eastAsia="맑은 고딕"/>
          <w:sz w:val="24"/>
        </w:rPr>
        <w:t>2026년   9월   8일</w:t>
      </w:r>
    </w:p>
    <w:p>
      <w:pPr>
        <w:jc w:val="center"/>
        <w:spacing w:before="60" w:after="200"/>
      </w:pPr>
      <w:r>
        <w:rPr>
          <w:rFonts w:ascii="맑은 고딕" w:eastAsia="맑은 고딕"/>
          <w:b/>
          <w:sz w:val="26"/>
          <w:color w:val="0E1E38"/>
        </w:rPr>
        <w:t>리틀포레스트 봉뜨락 사용수익허가 낙찰자   홍   성   현   (인)</w:t>
      </w:r>
    </w:p>
    <w:p>
      <w:pPr>
        <w:jc w:val="center"/>
        <w:spacing w:after="160"/>
      </w:pPr>
      <w:r>
        <w:rPr>
          <w:rFonts w:ascii="맑은 고딕" w:eastAsia="맑은 고딕"/>
          <w:sz w:val="18"/>
          <w:color w:val="666666"/>
        </w:rPr>
        <w:t>(주소: 경상북도 봉화군 봉화읍 유록길 22 │ 연락처: 010-5931-4144)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2026-09-03T10:47:26.589Z</dcterms:created>
  <dcterms:modified xsi:type="dcterms:W3CDTF">2026-09-03T10:47:26.589Z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