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IT/OT security charter</w:t>
      </w:r>
    </w:p>
    <w:p>
      <w:r>
        <w:rPr>
          <w:i/>
          <w:color w:val="4A5A68"/>
        </w:rPr>
        <w:t>One page that says who owns what. Agree it, sign it, review it every year.</w:t>
      </w:r>
    </w:p>
    <w:p>
      <w:r>
        <w:rPr>
          <w:color w:val="4A5A68"/>
          <w:sz w:val="18"/>
        </w:rPr>
        <w:t>Part of the IT/OT Monday Kit  |  free to use and adapt. Text in [brackets] is for you to fill in; italic notes are guidance you can delete.</w:t>
      </w:r>
    </w:p>
    <w:p>
      <w:pPr>
        <w:pStyle w:val="Heading2"/>
      </w:pPr>
      <w:r>
        <w:t>1. Purpose</w:t>
      </w:r>
    </w:p>
    <w:p>
      <w:r>
        <w:t>This charter sets out how [Organisation or site] manages security risk across business IT and operational technology (OT) as one team, so that safety, environmental performance, production and data are protected together.</w:t>
      </w:r>
    </w:p>
    <w:p>
      <w:pPr>
        <w:pStyle w:val="Heading2"/>
      </w:pPr>
      <w:r>
        <w:t>2. Scope</w:t>
      </w:r>
    </w:p>
    <w:p>
      <w:r>
        <w:t>Sites: [list sites or 'all sites']</w:t>
        <w:br/>
        <w:t>Systems: business IT, OT networks and control systems, safety systems, and vendor connections into them.</w:t>
        <w:br/>
        <w:t>Out of scope: [anything excluded, and why]</w:t>
      </w:r>
    </w:p>
    <w:p>
      <w:pPr>
        <w:pStyle w:val="Heading2"/>
      </w:pPr>
      <w:r>
        <w:t>3. Accountability</w:t>
      </w:r>
    </w:p>
    <w:p>
      <w:r>
        <w:t>Accountable executive: [name, title]. This person owns IT and OT security risk, settles disagreements between functions, and reports to [board or leadership team].</w:t>
      </w:r>
    </w:p>
    <w:p>
      <w:pPr>
        <w:pStyle w:val="Heading2"/>
      </w:pPr>
      <w:r>
        <w:t>4.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5670"/>
      </w:tblGrid>
      <w:tr>
        <w:tc>
          <w:tcPr>
            <w:tcW w:type="dxa" w:w="1984"/>
            <w:shd w:val="clear" w:color="auto" w:fill="2D6A8C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1701"/>
            <w:shd w:val="clear" w:color="auto" w:fill="2D6A8C"/>
          </w:tcPr>
          <w:p>
            <w:r/>
            <w:r>
              <w:rPr>
                <w:b/>
                <w:color w:val="FFFFFF"/>
              </w:rPr>
              <w:t>Lead</w:t>
            </w:r>
          </w:p>
        </w:tc>
        <w:tc>
          <w:tcPr>
            <w:tcW w:type="dxa" w:w="5669"/>
            <w:shd w:val="clear" w:color="auto" w:fill="2D6A8C"/>
          </w:tcPr>
          <w:p>
            <w:r/>
            <w:r>
              <w:rPr>
                <w:b/>
                <w:color w:val="FFFFFF"/>
              </w:rPr>
              <w:t>Responsible for</w:t>
            </w:r>
          </w:p>
        </w:tc>
      </w:tr>
      <w:tr>
        <w:tc>
          <w:tcPr>
            <w:tcW w:type="dxa" w:w="1984"/>
          </w:tcPr>
          <w:p>
            <w:r>
              <w:t>IT security</w:t>
            </w:r>
          </w:p>
        </w:tc>
        <w:tc>
          <w:tcPr>
            <w:tcW w:type="dxa" w:w="1701"/>
          </w:tcPr>
          <w:p>
            <w:r>
              <w:t>[name]</w:t>
            </w:r>
          </w:p>
        </w:tc>
        <w:tc>
          <w:tcPr>
            <w:tcW w:type="dxa" w:w="5669"/>
          </w:tcPr>
          <w:p>
            <w:r>
              <w:t>Security of business systems, identity, boundary to OT, monitoring tools, policy.</w:t>
            </w:r>
          </w:p>
        </w:tc>
      </w:tr>
      <w:tr>
        <w:tc>
          <w:tcPr>
            <w:tcW w:type="dxa" w:w="1984"/>
          </w:tcPr>
          <w:p>
            <w:r>
              <w:t>OT / engineering</w:t>
            </w:r>
          </w:p>
        </w:tc>
        <w:tc>
          <w:tcPr>
            <w:tcW w:type="dxa" w:w="1701"/>
          </w:tcPr>
          <w:p>
            <w:r>
              <w:t>[name]</w:t>
            </w:r>
          </w:p>
        </w:tc>
        <w:tc>
          <w:tcPr>
            <w:tcW w:type="dxa" w:w="5669"/>
          </w:tcPr>
          <w:p>
            <w:r>
              <w:t>Security of control systems, OT network changes, asset inventory, patch planning around outages.</w:t>
            </w:r>
          </w:p>
        </w:tc>
      </w:tr>
      <w:tr>
        <w:tc>
          <w:tcPr>
            <w:tcW w:type="dxa" w:w="1984"/>
          </w:tcPr>
          <w:p>
            <w:r>
              <w:t>Process safety</w:t>
            </w:r>
          </w:p>
        </w:tc>
        <w:tc>
          <w:tcPr>
            <w:tcW w:type="dxa" w:w="1701"/>
          </w:tcPr>
          <w:p>
            <w:r>
              <w:t>[name]</w:t>
            </w:r>
          </w:p>
        </w:tc>
        <w:tc>
          <w:tcPr>
            <w:tcW w:type="dxa" w:w="5669"/>
          </w:tcPr>
          <w:p>
            <w:r>
              <w:t>Including cyber scenarios in hazard reviews; protecting safety systems.</w:t>
            </w:r>
          </w:p>
        </w:tc>
      </w:tr>
      <w:tr>
        <w:tc>
          <w:tcPr>
            <w:tcW w:type="dxa" w:w="1984"/>
          </w:tcPr>
          <w:p>
            <w:r>
              <w:t>Operations</w:t>
            </w:r>
          </w:p>
        </w:tc>
        <w:tc>
          <w:tcPr>
            <w:tcW w:type="dxa" w:w="1701"/>
          </w:tcPr>
          <w:p>
            <w:r>
              <w:t>[name]</w:t>
            </w:r>
          </w:p>
        </w:tc>
        <w:tc>
          <w:tcPr>
            <w:tcW w:type="dxa" w:w="5669"/>
          </w:tcPr>
          <w:p>
            <w:r>
              <w:t>Manual operating procedures; go/no-go decisions on running the process during an incident.</w:t>
            </w:r>
          </w:p>
        </w:tc>
      </w:tr>
      <w:tr>
        <w:tc>
          <w:tcPr>
            <w:tcW w:type="dxa" w:w="1984"/>
          </w:tcPr>
          <w:p>
            <w:r>
              <w:t>Procurement</w:t>
            </w:r>
          </w:p>
        </w:tc>
        <w:tc>
          <w:tcPr>
            <w:tcW w:type="dxa" w:w="1701"/>
          </w:tcPr>
          <w:p>
            <w:r>
              <w:t>[name]</w:t>
            </w:r>
          </w:p>
        </w:tc>
        <w:tc>
          <w:tcPr>
            <w:tcW w:type="dxa" w:w="5669"/>
          </w:tcPr>
          <w:p>
            <w:r>
              <w:t>Security requirements in OT contracts; vendor access terms.</w:t>
            </w:r>
          </w:p>
        </w:tc>
      </w:tr>
      <w:tr>
        <w:tc>
          <w:tcPr>
            <w:tcW w:type="dxa" w:w="1984"/>
          </w:tcPr>
          <w:p>
            <w:r>
              <w:t>Compliance / legal</w:t>
            </w:r>
          </w:p>
        </w:tc>
        <w:tc>
          <w:tcPr>
            <w:tcW w:type="dxa" w:w="1701"/>
          </w:tcPr>
          <w:p>
            <w:r>
              <w:t>[name]</w:t>
            </w:r>
          </w:p>
        </w:tc>
        <w:tc>
          <w:tcPr>
            <w:tcW w:type="dxa" w:w="5669"/>
          </w:tcPr>
          <w:p>
            <w:r>
              <w:t>Mandate register; regulatory reporting and deadlines.</w:t>
            </w:r>
          </w:p>
        </w:tc>
      </w:tr>
    </w:tbl>
    <w:p/>
    <w:p>
      <w:pPr>
        <w:pStyle w:val="Heading2"/>
      </w:pPr>
      <w:r>
        <w:t>5. Who decides what</w:t>
      </w:r>
    </w:p>
    <w:p>
      <w:r>
        <w:rPr>
          <w:i/>
          <w:color w:val="4A5A68"/>
        </w:rPr>
        <w:t>R = does the work, A = approves (one per row), C = consulted, I = informed. Adjust to how your organisation really works.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1134"/>
        <w:gridCol w:w="1134"/>
        <w:gridCol w:w="1134"/>
        <w:gridCol w:w="1134"/>
      </w:tblGrid>
      <w:tr>
        <w:tc>
          <w:tcPr>
            <w:tcW w:type="dxa" w:w="3402"/>
            <w:shd w:val="clear" w:color="auto" w:fill="2D6A8C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134"/>
            <w:shd w:val="clear" w:color="auto" w:fill="2D6A8C"/>
          </w:tcPr>
          <w:p>
            <w:r/>
            <w:r>
              <w:rPr>
                <w:b/>
                <w:color w:val="FFFFFF"/>
              </w:rPr>
              <w:t>IT security</w:t>
            </w:r>
          </w:p>
        </w:tc>
        <w:tc>
          <w:tcPr>
            <w:tcW w:type="dxa" w:w="1134"/>
            <w:shd w:val="clear" w:color="auto" w:fill="2D6A8C"/>
          </w:tcPr>
          <w:p>
            <w:r/>
            <w:r>
              <w:rPr>
                <w:b/>
                <w:color w:val="FFFFFF"/>
              </w:rPr>
              <w:t>OT / eng.</w:t>
            </w:r>
          </w:p>
        </w:tc>
        <w:tc>
          <w:tcPr>
            <w:tcW w:type="dxa" w:w="1134"/>
            <w:shd w:val="clear" w:color="auto" w:fill="2D6A8C"/>
          </w:tcPr>
          <w:p>
            <w:r/>
            <w:r>
              <w:rPr>
                <w:b/>
                <w:color w:val="FFFFFF"/>
              </w:rPr>
              <w:t>Safety</w:t>
            </w:r>
          </w:p>
        </w:tc>
        <w:tc>
          <w:tcPr>
            <w:tcW w:type="dxa" w:w="1134"/>
            <w:shd w:val="clear" w:color="auto" w:fill="2D6A8C"/>
          </w:tcPr>
          <w:p>
            <w:r/>
            <w:r>
              <w:rPr>
                <w:b/>
                <w:color w:val="FFFFFF"/>
              </w:rPr>
              <w:t>Operations</w:t>
            </w:r>
          </w:p>
        </w:tc>
        <w:tc>
          <w:tcPr>
            <w:tcW w:type="dxa" w:w="1134"/>
            <w:shd w:val="clear" w:color="auto" w:fill="2D6A8C"/>
          </w:tcPr>
          <w:p>
            <w:r/>
            <w:r>
              <w:rPr>
                <w:b/>
                <w:color w:val="FFFFFF"/>
              </w:rPr>
              <w:t>Exec</w:t>
            </w:r>
          </w:p>
        </w:tc>
      </w:tr>
      <w:tr>
        <w:tc>
          <w:tcPr>
            <w:tcW w:type="dxa" w:w="3402"/>
          </w:tcPr>
          <w:p>
            <w:r>
              <w:t>Change to an OT network or boundary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A/R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I</w:t>
            </w:r>
          </w:p>
        </w:tc>
      </w:tr>
      <w:tr>
        <w:tc>
          <w:tcPr>
            <w:tcW w:type="dxa" w:w="3402"/>
          </w:tcPr>
          <w:p>
            <w:r>
              <w:t>Approve vendor remote access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A/R</w:t>
            </w:r>
          </w:p>
        </w:tc>
        <w:tc>
          <w:tcPr>
            <w:tcW w:type="dxa" w:w="1134"/>
          </w:tcPr>
          <w:p>
            <w:r>
              <w:t>I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I</w:t>
            </w:r>
          </w:p>
        </w:tc>
      </w:tr>
      <w:tr>
        <w:tc>
          <w:tcPr>
            <w:tcW w:type="dxa" w:w="3402"/>
          </w:tcPr>
          <w:p>
            <w:r>
              <w:t>Patch or update an OT system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A/R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I</w:t>
            </w:r>
          </w:p>
        </w:tc>
      </w:tr>
      <w:tr>
        <w:tc>
          <w:tcPr>
            <w:tcW w:type="dxa" w:w="3402"/>
          </w:tcPr>
          <w:p>
            <w:r>
              <w:t>Declare a security incident</w:t>
            </w:r>
          </w:p>
        </w:tc>
        <w:tc>
          <w:tcPr>
            <w:tcW w:type="dxa" w:w="1134"/>
          </w:tcPr>
          <w:p>
            <w:r>
              <w:t>A/R</w:t>
            </w:r>
          </w:p>
        </w:tc>
        <w:tc>
          <w:tcPr>
            <w:tcW w:type="dxa" w:w="1134"/>
          </w:tcPr>
          <w:p>
            <w:r>
              <w:t>R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I</w:t>
            </w:r>
          </w:p>
        </w:tc>
      </w:tr>
      <w:tr>
        <w:tc>
          <w:tcPr>
            <w:tcW w:type="dxa" w:w="3402"/>
          </w:tcPr>
          <w:p>
            <w:r>
              <w:t>Shut down or isolate a process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A/R</w:t>
            </w:r>
          </w:p>
        </w:tc>
        <w:tc>
          <w:tcPr>
            <w:tcW w:type="dxa" w:w="1134"/>
          </w:tcPr>
          <w:p>
            <w:r>
              <w:t>I</w:t>
            </w:r>
          </w:p>
        </w:tc>
      </w:tr>
      <w:tr>
        <w:tc>
          <w:tcPr>
            <w:tcW w:type="dxa" w:w="3402"/>
          </w:tcPr>
          <w:p>
            <w:r>
              <w:t>Notify regulators</w:t>
            </w:r>
          </w:p>
        </w:tc>
        <w:tc>
          <w:tcPr>
            <w:tcW w:type="dxa" w:w="1134"/>
          </w:tcPr>
          <w:p>
            <w:r>
              <w:t>R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I</w:t>
            </w:r>
          </w:p>
        </w:tc>
        <w:tc>
          <w:tcPr>
            <w:tcW w:type="dxa" w:w="1134"/>
          </w:tcPr>
          <w:p>
            <w:r>
              <w:t>A</w:t>
            </w:r>
          </w:p>
        </w:tc>
      </w:tr>
      <w:tr>
        <w:tc>
          <w:tcPr>
            <w:tcW w:type="dxa" w:w="3402"/>
          </w:tcPr>
          <w:p>
            <w:r>
              <w:t>Prioritise security capex</w:t>
            </w:r>
          </w:p>
        </w:tc>
        <w:tc>
          <w:tcPr>
            <w:tcW w:type="dxa" w:w="1134"/>
          </w:tcPr>
          <w:p>
            <w:r>
              <w:t>R</w:t>
            </w:r>
          </w:p>
        </w:tc>
        <w:tc>
          <w:tcPr>
            <w:tcW w:type="dxa" w:w="1134"/>
          </w:tcPr>
          <w:p>
            <w:r>
              <w:t>R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A</w:t>
            </w:r>
          </w:p>
        </w:tc>
      </w:tr>
    </w:tbl>
    <w:p/>
    <w:p>
      <w:pPr>
        <w:pStyle w:val="Heading2"/>
      </w:pPr>
      <w:r>
        <w:t>6. How we work together</w:t>
      </w:r>
    </w:p>
    <w:p>
      <w:pPr>
        <w:pStyle w:val="ListBullet"/>
      </w:pPr>
      <w:r>
        <w:t>Joint IT/OT security meeting: [every two weeks / monthly], chaired by [name].</w:t>
      </w:r>
    </w:p>
    <w:p>
      <w:pPr>
        <w:pStyle w:val="ListBullet"/>
      </w:pPr>
      <w:r>
        <w:t>Shared control set and crosswalk (02-Control-Crosswalk) owned jointly, reviewed [quarterly].</w:t>
      </w:r>
    </w:p>
    <w:p>
      <w:pPr>
        <w:pStyle w:val="ListBullet"/>
      </w:pPr>
      <w:r>
        <w:t>Joint exercise at least once a year (05-Tabletop-Exercise).</w:t>
      </w:r>
    </w:p>
    <w:p>
      <w:pPr>
        <w:pStyle w:val="ListBullet"/>
      </w:pPr>
      <w:r>
        <w:t>Security work for OT is added to capital plans and outage scopes at least [12] months ahead.</w:t>
      </w:r>
    </w:p>
    <w:p>
      <w:pPr>
        <w:pStyle w:val="ListBullet"/>
      </w:pPr>
      <w:r>
        <w:t>Disagreements that the leads cannot settle go to the accountable executive within [5] working days.</w:t>
      </w:r>
    </w:p>
    <w:p>
      <w:pPr>
        <w:pStyle w:val="Heading2"/>
      </w:pPr>
      <w:r>
        <w:t>7. Shared measures</w:t>
      </w:r>
    </w:p>
    <w:p>
      <w:r>
        <w:rPr>
          <w:i/>
          <w:color w:val="4A5A68"/>
        </w:rPr>
        <w:t>Pick three to five that both teams can influence. Examples below.</w:t>
      </w:r>
    </w:p>
    <w:p>
      <w:pPr>
        <w:pStyle w:val="ListBullet"/>
      </w:pPr>
      <w:r>
        <w:t>Self-assessment maturity level (01-Self-Assessment), re-scored every 90 days.</w:t>
      </w:r>
    </w:p>
    <w:p>
      <w:pPr>
        <w:pStyle w:val="ListBullet"/>
      </w:pPr>
      <w:r>
        <w:t>% of crosswalk controls in place.</w:t>
      </w:r>
    </w:p>
    <w:p>
      <w:pPr>
        <w:pStyle w:val="ListBullet"/>
      </w:pPr>
      <w:r>
        <w:t>% of remote access paths with individual accounts and multi-factor authentication.</w:t>
      </w:r>
    </w:p>
    <w:p>
      <w:pPr>
        <w:pStyle w:val="ListBullet"/>
      </w:pPr>
      <w:r>
        <w:t>% of critical controllers with a tested offline backup.</w:t>
      </w:r>
    </w:p>
    <w:p>
      <w:pPr>
        <w:pStyle w:val="ListBullet"/>
      </w:pPr>
      <w:r>
        <w:t>Days since last joint exercise.</w:t>
      </w:r>
    </w:p>
    <w:p>
      <w:pPr>
        <w:pStyle w:val="Heading2"/>
      </w:pPr>
      <w:r>
        <w:t>8. Review and sign-off</w:t>
      </w:r>
    </w:p>
    <w:p>
      <w:r>
        <w:t>This charter is reviewed every [12] months or after a major incident. Next review: [date].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2551"/>
        <w:gridCol w:w="1701"/>
      </w:tblGrid>
      <w:tr>
        <w:tc>
          <w:tcPr>
            <w:tcW w:type="dxa" w:w="2268"/>
            <w:shd w:val="clear" w:color="auto" w:fill="2D6A8C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51"/>
            <w:shd w:val="clear" w:color="auto" w:fill="2D6A8C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51"/>
            <w:shd w:val="clear" w:color="auto" w:fill="2D6A8C"/>
          </w:tcPr>
          <w:p>
            <w:r/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1701"/>
            <w:shd w:val="clear" w:color="auto" w:fill="2D6A8C"/>
          </w:tcPr>
          <w:p>
            <w:r/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Accountable executive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IT security lead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OT / engineering lead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>
              <w:t>Process safety lead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6A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