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 w:line="240" w:lineRule="auto"/>
      </w:pPr>
    </w:p>
    <w:p>
      <w:pPr>
        <w:spacing w:after="320"/>
        <w:jc w:val="center"/>
      </w:pPr>
      <w:r>
        <w:rPr>
          <w:rFonts w:ascii="Calibri" w:hAnsi="Calibri" w:eastAsia="Arial Unicode MS" w:cs="Calibri"/>
          <w:b/>
          <w:color w:val="2E74B5"/>
          <w:sz w:val="23"/>
          <w:lang w:val="zh-CN" w:eastAsia="zh-CN"/>
        </w:rPr>
        <w:t>长期学习路线图</w:t>
      </w:r>
    </w:p>
    <w:p>
      <w:pPr>
        <w:spacing w:before="0" w:after="240" w:line="252" w:lineRule="auto"/>
        <w:jc w:val="center"/>
      </w:pPr>
      <w:r>
        <w:rPr>
          <w:rFonts w:ascii="Calibri" w:hAnsi="Calibri" w:eastAsia="Arial Unicode MS" w:cs="Calibri"/>
          <w:b/>
          <w:color w:val="0B2545"/>
          <w:sz w:val="60"/>
          <w:lang w:val="zh-CN" w:eastAsia="zh-CN"/>
        </w:rPr>
        <w:t>Python / 数据分析</w:t>
        <w:br/>
      </w:r>
      <w:r>
        <w:rPr>
          <w:rFonts w:ascii="Calibri" w:hAnsi="Calibri" w:eastAsia="Arial Unicode MS" w:cs="Calibri"/>
          <w:b/>
          <w:color w:val="0B2545"/>
          <w:sz w:val="60"/>
          <w:lang w:val="zh-CN" w:eastAsia="zh-CN"/>
        </w:rPr>
        <w:t>长期教学规划</w:t>
      </w:r>
    </w:p>
    <w:p>
      <w:pPr>
        <w:spacing w:after="440"/>
        <w:jc w:val="center"/>
      </w:pPr>
      <w:r>
        <w:rPr>
          <w:rFonts w:ascii="Calibri" w:hAnsi="Calibri" w:eastAsia="Arial Unicode MS" w:cs="Calibri"/>
          <w:color w:val="1F4D78"/>
          <w:sz w:val="31"/>
          <w:lang w:val="zh-CN" w:eastAsia="zh-CN"/>
        </w:rPr>
        <w:t>从数据直觉、真实项目到职业验证</w:t>
      </w:r>
    </w:p>
    <w:p>
      <w:pPr>
        <w:spacing w:after="680" w:line="324" w:lineRule="auto"/>
        <w:ind w:left="792" w:right="792"/>
        <w:jc w:val="center"/>
      </w:pPr>
      <w:r>
        <w:rPr>
          <w:rFonts w:ascii="Calibri" w:hAnsi="Calibri" w:eastAsia="Arial Unicode MS" w:cs="Calibri"/>
          <w:color w:val="5B6572"/>
          <w:sz w:val="25"/>
          <w:lang w:val="zh-CN" w:eastAsia="zh-CN"/>
        </w:rPr>
        <w:t>目标不是“学完所有语法”，而是把现实问题转成数据问题，再把数据问题变成可执行方案。</w:t>
      </w:r>
    </w:p>
    <w:p>
      <w:pPr>
        <w:spacing w:before="0" w:after="280" w:line="348" w:lineRule="auto"/>
        <w:ind w:left="144" w:right="144"/>
        <w:jc w:val="center"/>
        <w:shd w:val="clear" w:color="auto" w:fill="F4F6F9"/>
        <w:pBdr>
          <w:left w:val="single" w:sz="18" w:space="10" w:color="2E74B5"/>
        </w:pBdr>
      </w:pPr>
      <w:r>
        <w:rPr>
          <w:rFonts w:ascii="Calibri" w:hAnsi="Calibri" w:eastAsia="Arial Unicode MS" w:cs="Calibri"/>
          <w:b/>
          <w:color w:val="0B2545"/>
          <w:sz w:val="23"/>
          <w:lang w:val="zh-CN" w:eastAsia="zh-CN"/>
        </w:rPr>
        <w:t>数据直觉与清洗  →  分析与可视化  →  统计思维  →  SQL</w:t>
        <w:br/>
        <w:t>真实项目 / 自动化  →  AI 辅助工作流  →  职业验证</w:t>
      </w:r>
    </w:p>
    <w:p>
      <w:pPr>
        <w:spacing w:before="280" w:after="0"/>
        <w:jc w:val="center"/>
      </w:pPr>
      <w:r>
        <w:rPr>
          <w:rFonts w:ascii="Calibri" w:hAnsi="Calibri" w:eastAsia="Arial Unicode MS" w:cs="Calibri"/>
          <w:b/>
          <w:color w:val="2E74B5"/>
          <w:sz w:val="23"/>
          <w:lang w:val="zh-CN" w:eastAsia="zh-CN"/>
        </w:rPr>
        <w:t>学习方法：概念 → 小例子 → 真实数据 → 项目 → 复盘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01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1｜数据直觉与清洗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约 1–2 周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看懂表格结构，会取数据、筛选数据、发现脏数据，并完成一轮可靠的基础清洗。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Python 基础：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变量、列表、字典与函数调用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pandas 核心对象：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DataFrame、Series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数据结构：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行、列与索引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快速检查：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shape、columns、head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数据选择：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条件筛选与 loc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质量检查：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缺失值、重复值、数据类型与异常值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文件处理：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Excel 的读取与保存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能独立拿一张真实成绩表，判断数据是否存在问题，完成基础清洗，并输出一份可继续分析的规范数据文件。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02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2｜分析与可视化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约 2–3 周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从“会操作表格”进阶到“能用数据回答问题”，形成分析问题、计算指标与表达结论的基本能力。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排序与筛选：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sort_values、多条件筛选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分组分析：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groupby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描述统计：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平均值、中位数、最大值与最小值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计数与比例：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频数、占比与结构比较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数据加工：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新增计算列与简单透视表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基础可视化：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柱状图、直方图与散点图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问题训练：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偏科、薄弱科目、班级差异与指标关系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完成第一个小项目——《班级成绩分析报告》，能够用图表和文字回答“谁需要关注、哪里薄弱、差异多大、指标是否相关”等问题。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03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3｜统计思维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约 3–4 周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理解常见统计量解决什么问题，能够判断一个数字是否足以支持结论，而不是只会套用公式。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集中趋势：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均值与中位数的适用场景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离散程度：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方差与标准差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位置与形态：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百分位数与分布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变量关系：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相关性及其解释边界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推断基础：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样本与总体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异常判断：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异常值的识别与解释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分析边界：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理解“相关不等于因果”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指标设计：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让指标与真实问题保持一致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面对一个数据结论，能够同时说明证据、解释、局限与不确定性，避免把相关性、平均数或单一指标误当成完整答案。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04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4｜SQL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约 2–4 周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进入更接近企业真实数据工作的环境，能够从数据库中独立取得分析所需的数据。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选择字段：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SELECT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确定数据源：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FROM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筛选条件：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WHERE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分组汇总：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GROUP BY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结果排序：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ORDER BY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多表组合：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JOIN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查询思路：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要什么数据 → 从哪里拿 → 满足什么条件 → 如何组合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能够编写结构清晰的查询，从数据库中取出分析数据集，并解释每一步查询逻辑与结果含义。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05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5｜真实项目 / 自动化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约 1–2 个月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减少单纯“上课”，增加真实项目，把清洗、分析、解释、输出与自动化串成完整闭环。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项目 A｜学生成绩诊断系统：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Excel → 清洗 → 学生分类 → 薄弱项识别 → 可视化 → 分析结论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项目 B｜教学数据自动化工具：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原始数据 → 自动整理 → 自动统计 → 自动输出结果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项目 C｜教育数据探索：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使用公开、脱敏或模拟数据研究一个真实问题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完整方法链：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发现 → 验证 → 解释 → 应用 → 工具化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项目表达：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记录问题、数据、方法、结论与限制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形成 2–3 个完整项目，其中至少包含一个可重复使用的自动化工具；每个项目都能展示数据处理过程、分析结果与实际价值。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06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6｜AI 辅助数据工作流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贯穿全程；前期以辅助为主，阶段 3 以后逐步加深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学会自己定义问题，让 AI 加速编写与执行，同时能够判断、测试并验证 AI 产出的代码和结论。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AI 辅助 Python：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生成代码、解释代码与改写代码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调试：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定位报错、提出假设并验证修复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API 基础：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理解数据与服务之间的调用方式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报告自动化：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由分析结果生成结构化报告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AI + pandas：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辅助清洗、分析与结果解释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简单 AI 应用：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把高频流程封装成可使用的小工具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结果验证：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检查数据范围、计算逻辑、边界条件与结论可信度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建立“定义问题 → 让 AI 辅助实现 → 测试 → 验证 → 形成报告或工具”的可复用工作流。你负责问题、模型、判断与验证，AI 负责加速执行。</w:t>
      </w:r>
    </w:p>
    <w:p>
      <w:r>
        <w:br w:type="page"/>
      </w:r>
    </w:p>
    <w:p>
      <w:pPr>
        <w:pStyle w:val="StageKicker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21"/>
          <w:lang w:val="zh-CN" w:eastAsia="zh-CN"/>
        </w:rPr>
        <w:t>阶段 07 · 学习路线</w:t>
      </w:r>
    </w:p>
    <w:p>
      <w:pPr>
        <w:pStyle w:val="Heading1"/>
        <w:keepNext/>
        <w:keepLines/>
        <w:widowControl/>
      </w:pPr>
      <w:r>
        <w:rPr>
          <w:rFonts w:ascii="Calibri" w:hAnsi="Calibri" w:eastAsia="Arial Unicode MS" w:cs="Calibri"/>
          <w:b/>
          <w:color w:val="0B2545"/>
          <w:sz w:val="40"/>
          <w:lang w:val="zh-CN" w:eastAsia="zh-CN"/>
        </w:rPr>
        <w:t>阶段 7｜职业验证</w:t>
      </w:r>
    </w:p>
    <w:p>
      <w:pPr>
        <w:pStyle w:val="CycleLine"/>
        <w:keepNext/>
        <w:keepLines/>
        <w:widowControl/>
      </w:pPr>
      <w:r>
        <w:rPr>
          <w:rFonts w:ascii="Calibri" w:hAnsi="Calibri" w:eastAsia="Arial Unicode MS" w:cs="Calibri"/>
          <w:b/>
          <w:color w:val="1F4D78"/>
          <w:sz w:val="23"/>
          <w:lang w:val="zh-CN" w:eastAsia="zh-CN"/>
        </w:rPr>
        <w:t xml:space="preserve">建议周期　</w:t>
      </w:r>
      <w:r>
        <w:rPr>
          <w:rFonts w:ascii="Calibri" w:hAnsi="Calibri" w:eastAsia="Arial Unicode MS" w:cs="Calibri"/>
          <w:color w:val="5B6572"/>
          <w:sz w:val="23"/>
          <w:lang w:val="zh-CN" w:eastAsia="zh-CN"/>
        </w:rPr>
        <w:t>完成 2–3 个项目后启动；首轮建议 2–4 周，之后持续复盘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阶段目标</w:t>
      </w:r>
    </w:p>
    <w:p>
      <w:pPr>
        <w:keepNext w:val="0"/>
        <w:keepLines/>
        <w:widowControl/>
      </w:pP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用真实岗位与作品证据检验职业匹配度，并据此判断直接转岗还是继续深造。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核心技能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岗位样本：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收集并拆解武汉地区相关岗位 JD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门槛核对：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学历要求与经验要求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技术要求：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SQL、Python 与 BI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作品证据：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项目经验如何对应岗位职责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行业方向：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教育科技公司的真实岗位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岗位类型：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数据分析、业务分析与 AI 数据相关岗位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  <w:widowControl/>
      </w:pPr>
      <w:r>
        <w:rPr>
          <w:rFonts w:ascii="Calibri" w:hAnsi="Calibri" w:eastAsia="Arial Unicode MS" w:cs="Calibri"/>
          <w:b/>
          <w:color w:val="0B2545"/>
          <w:sz w:val="24"/>
          <w:lang w:val="zh-CN" w:eastAsia="zh-CN"/>
        </w:rPr>
        <w:t>差距分析：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把岗位要求转成下一轮学习与项目计划</w:t>
      </w:r>
    </w:p>
    <w:p>
      <w:pPr>
        <w:pStyle w:val="Heading2"/>
        <w:keepNext/>
        <w:keepLines/>
        <w:widowControl/>
      </w:pPr>
      <w:r>
        <w:rPr>
          <w:rFonts w:ascii="Calibri" w:hAnsi="Calibri" w:eastAsia="Arial Unicode MS" w:cs="Calibri"/>
          <w:b/>
          <w:color w:val="2E74B5"/>
          <w:sz w:val="30"/>
          <w:lang w:val="zh-CN" w:eastAsia="zh-CN"/>
        </w:rPr>
        <w:t>阶段成果</w:t>
      </w:r>
    </w:p>
    <w:p>
      <w:pPr>
        <w:pStyle w:val="OutcomeCallout"/>
        <w:shd w:val="clear" w:color="auto" w:fill="E8EEF5"/>
        <w:keepNext w:val="0"/>
        <w:keepLines/>
        <w:pBdr>
          <w:left w:val="single" w:sz="18" w:space="10" w:color="2E74B5"/>
        </w:pBdr>
        <w:widowControl/>
      </w:pPr>
      <w:r>
        <w:rPr>
          <w:rFonts w:ascii="Calibri" w:hAnsi="Calibri" w:eastAsia="Arial Unicode MS" w:cs="Calibri"/>
          <w:b/>
          <w:color w:val="1F4D78"/>
          <w:sz w:val="24"/>
          <w:lang w:val="zh-CN" w:eastAsia="zh-CN"/>
        </w:rPr>
        <w:t xml:space="preserve">完成标志　</w:t>
      </w:r>
      <w:r>
        <w:rPr>
          <w:rFonts w:ascii="Calibri" w:hAnsi="Calibri" w:eastAsia="Arial Unicode MS" w:cs="Calibri"/>
          <w:color w:val="0B2545"/>
          <w:sz w:val="24"/>
          <w:lang w:val="zh-CN" w:eastAsia="zh-CN"/>
        </w:rPr>
        <w:t>产出目标岗位清单、能力差距清单与作品集证据清单，形成一份有依据的职业决策：直接转岗，或确认研究生教育确实值得投入。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Arial Unicode MS" w:cs="Calibri"/>
        <w:color w:val="5B6572"/>
        <w:sz w:val="18"/>
        <w:lang w:val="zh-CN" w:eastAsia="zh-CN"/>
      </w:rPr>
      <w:t xml:space="preserve">第 </w:t>
    </w:r>
    <w:r>
      <w:rPr>
        <w:rFonts w:ascii="Calibri" w:hAnsi="Calibri" w:eastAsia="Arial Unicode MS" w:cs="Calibri"/>
        <w:color w:val="5B6572"/>
        <w:sz w:val="18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Arial Unicode MS" w:cs="Calibri"/>
        <w:color w:val="5B6572"/>
        <w:sz w:val="18"/>
        <w:lang w:val="zh-CN" w:eastAsia="zh-CN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Arial Unicode MS" w:cs="Calibri"/>
        <w:color w:val="5B6572"/>
        <w:sz w:val="18"/>
        <w:lang w:val="zh-CN" w:eastAsia="zh-CN"/>
      </w:rPr>
      <w:t>Python / 数据分析长期教学规划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49A14C3B"/>
    <w:multiLevelType w:val="singleLevel"/>
    <w:tmpl w:val="BULLET01"/>
    <w:lvl w:ilvl="0">
      <w:start w:val="1"/>
      <w:numFmt w:val="bullet"/>
      <w:lvlText w:val="•"/>
      <w:lvlJc w:val="left"/>
      <w:pPr>
        <w:tabs>
          <w:tab w:val="num" w:pos="270"/>
        </w:tabs>
        <w:ind w:left="540" w:hanging="270"/>
        <w:spacing w:before="0" w:after="80" w:line="300" w:lineRule="auto"/>
      </w:pPr>
      <w:rPr>
        <w:rFonts w:ascii="Calibri" w:hAnsi="Calibri" w:eastAsia="Arial Unicode MS"/>
        <w:color w:val="2E74B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00" w:lineRule="auto"/>
      <w:jc w:val="left"/>
    </w:pPr>
    <w:rPr>
      <w:rFonts w:ascii="Calibri" w:hAnsi="Calibri" w:eastAsia="Arial Unicode MS" w:cs="Calibri"/>
      <w:b w:val="0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52" w:lineRule="auto"/>
      <w:outlineLvl w:val="0"/>
    </w:pPr>
    <w:rPr>
      <w:rFonts w:asciiTheme="majorHAnsi" w:eastAsiaTheme="majorEastAsia" w:hAnsiTheme="majorHAnsi" w:cstheme="majorBidi" w:ascii="Calibri" w:hAnsi="Calibri" w:eastAsia="Arial Unicode MS" w:cs="Calibri"/>
      <w:b/>
      <w:bCs/>
      <w:color w:val="0B25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64" w:lineRule="auto"/>
      <w:outlineLvl w:val="1"/>
    </w:pPr>
    <w:rPr>
      <w:rFonts w:asciiTheme="majorHAnsi" w:eastAsiaTheme="majorEastAsia" w:hAnsiTheme="majorHAnsi" w:cstheme="majorBidi" w:ascii="Calibri" w:hAnsi="Calibri" w:eastAsia="Arial Unicode MS" w:cs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Arial Unicode MS" w:cs="Calibri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geKicker">
    <w:name w:val="Stage Kicker"/>
    <w:pPr>
      <w:keepNext/>
      <w:spacing w:before="0" w:after="80" w:line="240" w:lineRule="auto"/>
    </w:pPr>
    <w:rPr>
      <w:rFonts w:ascii="Calibri" w:hAnsi="Calibri" w:eastAsia="Arial Unicode MS" w:cs="Calibri"/>
      <w:b/>
      <w:color w:val="2E74B5"/>
      <w:sz w:val="21"/>
    </w:rPr>
  </w:style>
  <w:style w:type="paragraph" w:customStyle="1" w:styleId="CycleLine">
    <w:name w:val="Cycle Line"/>
    <w:pPr>
      <w:keepNext/>
      <w:spacing w:before="0" w:after="260" w:line="276" w:lineRule="auto"/>
    </w:pPr>
    <w:rPr>
      <w:rFonts w:ascii="Calibri" w:hAnsi="Calibri" w:eastAsia="Arial Unicode MS" w:cs="Calibri"/>
      <w:b w:val="0"/>
      <w:color w:val="5B6572"/>
      <w:sz w:val="23"/>
    </w:rPr>
  </w:style>
  <w:style w:type="paragraph" w:customStyle="1" w:styleId="OutcomeCallout">
    <w:name w:val="Outcome Callout"/>
    <w:pPr>
      <w:spacing w:before="160" w:after="160" w:line="300" w:lineRule="auto"/>
      <w:ind w:left="288" w:right="202"/>
    </w:pPr>
    <w:rPr>
      <w:rFonts w:ascii="Calibri" w:hAnsi="Calibri" w:eastAsia="Arial Unicode MS" w:cs="Calibri"/>
      <w:b w:val="0"/>
      <w:color w:val="0B254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/ 数据分析长期教学规划</dc:title>
  <dc:subject>七阶段长期学习路线图</dc:subject>
  <dc:creator>Codex</dc:creator>
  <cp:keywords>Python, 数据分析, pandas, SQL, AI, 职业规划</cp:keywords>
  <dc:description>根据当前对话中的长期教学规划整理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