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Roof Estimate Reconciliation Memorandum</w:t>
      </w:r>
    </w:p>
    <w:p>
      <w:r>
        <w:t>SYNTHETIC EXAMPLE - NOT FOR SUBMISSION</w:t>
      </w:r>
    </w:p>
    <w:p>
      <w:r>
        <w:t>Case SYN-SHINGLE | Comparison date 2026-09-21 | Technical estimate preparation</w:t>
      </w:r>
    </w:p>
    <w:p>
      <w:r>
        <w:t>Please review the documented changes from $9,350.00 to $12,400.00 in direct construction costs before taxes and general overhead and profit, a net change of $3,050.00.</w:t>
      </w:r>
    </w:p>
    <w:p>
      <w:r>
        <w:t>The figures concern the specified construction work. They do not determine coverage or the amount currently payable.</w:t>
      </w:r>
    </w:p>
    <w:p>
      <w:pPr>
        <w:pStyle w:val="Heading1"/>
      </w:pPr>
      <w:r>
        <w:t>Estimates and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t>Role</w:t>
            </w:r>
          </w:p>
        </w:tc>
        <w:tc>
          <w:tcPr>
            <w:tcW w:type="dxa" w:w="2520"/>
          </w:tcPr>
          <w:p>
            <w:r>
              <w:t>Document</w:t>
            </w:r>
          </w:p>
        </w:tc>
        <w:tc>
          <w:tcPr>
            <w:tcW w:type="dxa" w:w="2520"/>
          </w:tcPr>
          <w:p>
            <w:r>
              <w:t>Version</w:t>
            </w:r>
          </w:p>
        </w:tc>
        <w:tc>
          <w:tcPr>
            <w:tcW w:type="dxa" w:w="2520"/>
          </w:tcPr>
          <w:p>
            <w:r>
              <w:t>Recorded date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baseline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D-0a8cdb16803b6342-baseline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2026-09-22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D-0369cd31be69d411-proposed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2026-09-22</w:t>
            </w:r>
          </w:p>
        </w:tc>
      </w:tr>
    </w:tbl>
    <w:p/>
    <w:p>
      <w:r>
        <w:t>Confirm the date printed on each estimate. Intake receipt dates alone do not establish its pricing date.</w:t>
      </w:r>
    </w:p>
    <w:p>
      <w:r>
        <w:t>Pricing context: Synthetic Phoenix setting; no market prices supplied; list not supplied; month not supplied.</w:t>
      </w:r>
    </w:p>
    <w:p>
      <w:pPr>
        <w:pStyle w:val="Heading1"/>
      </w:pPr>
      <w:r>
        <w:t>Discrepancy schedule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t>Issue</w:t>
            </w:r>
          </w:p>
        </w:tc>
        <w:tc>
          <w:tcPr>
            <w:tcW w:type="dxa" w:w="2520"/>
          </w:tcPr>
          <w:p>
            <w:r>
              <w:t>Existing</w:t>
            </w:r>
          </w:p>
        </w:tc>
        <w:tc>
          <w:tcPr>
            <w:tcW w:type="dxa" w:w="2520"/>
          </w:tcPr>
          <w:p>
            <w:r>
              <w:t>Proposed</w:t>
            </w:r>
          </w:p>
        </w:tc>
        <w:tc>
          <w:tcPr>
            <w:tcW w:type="dxa" w:w="2520"/>
          </w:tcPr>
          <w:p>
            <w:r>
              <w:t>Change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I-001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$8,000.00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$11,250.00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$3,250.00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I-002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$1,000.00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$800.00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$-200.00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I-003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$350.00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$350.00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</w:t>
            </w:r>
          </w:p>
        </w:tc>
      </w:tr>
    </w:tbl>
    <w:p/>
    <w:p>
      <w:pPr>
        <w:pStyle w:val="Heading1"/>
      </w:pPr>
      <w:r>
        <w:t>I-001 Shingle installation</w:t>
      </w:r>
    </w:p>
    <w:p>
      <w:r>
        <w:t>The synthetic measurement record establishes 25 SQ; the first estimate used 20 SQ.</w:t>
      </w:r>
    </w:p>
    <w:p>
      <w:r>
        <w:t>The measured surface is already slope-adjusted. The rate comparison uses the same fictional specification and excludes taxes and general O&amp;P.</w:t>
      </w:r>
    </w:p>
    <w:p>
      <w:r>
        <w:t>Comparison: The two lines describe the same synthetic operation, location and specification.</w:t>
      </w:r>
    </w:p>
    <w:p>
      <w:r>
        <w:t>Calculation: $11,250.00 less $8,000.00 = $3,250.00.</w:t>
      </w:r>
    </w:p>
    <w:p>
      <w:r>
        <w:t>Attribution: quantity $2,000.00; price $1,250.00.</w:t>
      </w:r>
    </w:p>
    <w:p>
      <w:r>
        <w:t>Evidence: E-BASE, E-PROP, E-NOTES.</w:t>
      </w:r>
    </w:p>
    <w:p>
      <w:r>
        <w:t>Competing explanation: The aerial report may already include pitch or waste.</w:t>
      </w:r>
    </w:p>
    <w:p>
      <w:r>
        <w:t>Response or concession: Use the face-by-face synthetic takeoff and check that neither slope nor waste is added twice.</w:t>
      </w:r>
    </w:p>
    <w:p>
      <w:r>
        <w:t>Requested action: Correct measured surface area and the documented unit price.</w:t>
      </w:r>
    </w:p>
    <w:p>
      <w:r>
        <w:t>Scope: supported. Coverage: unknown.</w:t>
      </w:r>
    </w:p>
    <w:p>
      <w:pPr>
        <w:pStyle w:val="Heading1"/>
      </w:pPr>
      <w:r>
        <w:t>I-002 Flashing replacement</w:t>
      </w:r>
    </w:p>
    <w:p>
      <w:r>
        <w:t>The fixture includes a 20 LF segment twice in the baseline takeoff.</w:t>
      </w:r>
    </w:p>
    <w:p>
      <w:r>
        <w:t>The two entries describe the same physical segment, so the revision removes that overlap.</w:t>
      </w:r>
    </w:p>
    <w:p>
      <w:r>
        <w:t>Comparison: The two lines describe the same synthetic operation, location and specification.</w:t>
      </w:r>
    </w:p>
    <w:p>
      <w:r>
        <w:t>Calculation: $800.00 less $1,000.00 = $-200.00.</w:t>
      </w:r>
    </w:p>
    <w:p>
      <w:r>
        <w:t>Attribution: quantity $-200.00.</w:t>
      </w:r>
    </w:p>
    <w:p>
      <w:r>
        <w:t>Evidence: E-BASE, E-PROP, E-NOTES.</w:t>
      </w:r>
    </w:p>
    <w:p>
      <w:r>
        <w:t>Competing explanation: The second entry could describe a different location.</w:t>
      </w:r>
    </w:p>
    <w:p>
      <w:r>
        <w:t>Response or concession: The synthetic location map assigns both entries to the same segment; a distinct field location would change this conclusion.</w:t>
      </w:r>
    </w:p>
    <w:p>
      <w:r>
        <w:t>Requested action: Reduce the flashing allowance to 80 LF.</w:t>
      </w:r>
    </w:p>
    <w:p>
      <w:r>
        <w:t>Scope: supported. Coverage: unknown.</w:t>
      </w:r>
    </w:p>
    <w:p>
      <w:pPr>
        <w:pStyle w:val="Heading1"/>
      </w:pPr>
      <w:r>
        <w:t>I-003 Debris handling</w:t>
      </w:r>
    </w:p>
    <w:p>
      <w:r>
        <w:t>The fictional allowance covers the complete documented disposal scope.</w:t>
      </w:r>
    </w:p>
    <w:p>
      <w:r>
        <w:t>No additional disposal operation is supported.</w:t>
      </w:r>
    </w:p>
    <w:p>
      <w:r>
        <w:t>Comparison: The two lines describe the same synthetic operation, location and specification.</w:t>
      </w:r>
    </w:p>
    <w:p>
      <w:r>
        <w:t>Calculation: $350.00 less $350.00 = $0.00.</w:t>
      </w:r>
    </w:p>
    <w:p>
      <w:r>
        <w:t>Evidence: E-BASE, E-PROP, E-NOTES.</w:t>
      </w:r>
    </w:p>
    <w:p>
      <w:r>
        <w:t>Competing explanation: A separate dumpster charge may overlap the removal price.</w:t>
      </w:r>
    </w:p>
    <w:p>
      <w:r>
        <w:t>Response or concession: Retain this allowance and do not add a second charge for the same disposal.</w:t>
      </w:r>
    </w:p>
    <w:p>
      <w:r>
        <w:t>Requested action: Retain the existing debris allowance.</w:t>
      </w:r>
    </w:p>
    <w:p>
      <w:r>
        <w:t>Scope: supported. Coverage: unknown.</w:t>
      </w:r>
    </w:p>
    <w:p>
      <w:pPr>
        <w:pStyle w:val="Heading1"/>
      </w:pPr>
      <w:r>
        <w:t>Financial reconciliation</w:t>
      </w:r>
    </w:p>
    <w:p>
      <w:r>
        <w:t>The direct-cost comparison and subsequent estimate adjustments are separate from policy settlement.</w:t>
      </w:r>
    </w:p>
    <w:p>
      <w:r>
        <w:t>Baseline: direct costs $9,350.00; estimate total on the specified adjustment basis $9,350.00. Basis: no adjustments specified not verified zero.</w:t>
      </w:r>
    </w:p>
    <w:p>
      <w:r>
        <w:t>Proposed: direct costs $12,400.00; estimate total on the specified adjustment basis $12,400.00. Basis: no adjustments specified not verified zero.</w:t>
      </w:r>
    </w:p>
    <w:p>
      <w:r>
        <w:t>Payment scenario: not supplied or not calculable.</w:t>
      </w:r>
    </w:p>
    <w:p>
      <w:r>
        <w:t>Amount currently payable: not determined.</w:t>
      </w:r>
    </w:p>
    <w:p>
      <w:r>
        <w:t>Absent tax or markup inputs mean not specified, rather than verified zero. Any payment scenario is an explicit calculation supplied for review; it is not a coverage decision.</w:t>
      </w:r>
    </w:p>
    <w:p>
      <w:pPr>
        <w:pStyle w:val="Heading1"/>
      </w:pPr>
      <w:r>
        <w:t>Open items and next action</w:t>
      </w:r>
    </w:p>
    <w:p>
      <w:r>
        <w:t>Confirm source readings, sender authority, and the licensed Xactimate entry and export before release.</w:t>
      </w:r>
    </w:p>
    <w:p>
      <w:r>
        <w:t>Numeric source review: 0 of 20 readings have recorded human confirmation. AI or synthetic checks do not count as human confirmation.</w:t>
      </w:r>
    </w:p>
    <w:p>
      <w:r>
        <w:t>Please respond by issue ID, stating whether each item is accepted, needs further evidence, or remains disputed. A focused reinspection can address differing observations at the named locations.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Review draft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Roof Estimate Reconciliation Memorandum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