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Roof Estimate Review</w:t>
      </w:r>
    </w:p>
    <w:p>
      <w:r>
        <w:t>SYNTHETIC EXAMPLE - NOT FOR SUBMISSION</w:t>
      </w:r>
    </w:p>
    <w:p>
      <w:r>
        <w:t>Re Case SYN-TILE roof estimate review</w:t>
      </w:r>
    </w:p>
    <w:p>
      <w:r>
        <w:t>Dear Claim Representative,</w:t>
      </w:r>
    </w:p>
    <w:p>
      <w:r>
        <w:t>Please review the documented changes from $6,600.00 to $7,050.00 in direct construction costs before taxes and general overhead and profit, a net change of $450.00.</w:t>
      </w:r>
    </w:p>
    <w:p>
      <w:r>
        <w:t>I-001: Retain the bounded lift-and-reset scope.</w:t>
      </w:r>
    </w:p>
    <w:p>
      <w:r>
        <w:t>I-002: Retain replacement of ten documented damaged tiles.</w:t>
      </w:r>
    </w:p>
    <w:p>
      <w:r>
        <w:t>I-003: Review the supported rate difference for the same underlayment scope.</w:t>
      </w:r>
    </w:p>
    <w:p>
      <w:r>
        <w:t>The memorandum links each issue to its source evidence and calculation and identifies unresolved coverage questions. These construction figures are not a calculation of the amount currently payable.</w:t>
      </w:r>
    </w:p>
    <w:p>
      <w:r>
        <w:t>Please provide an itemized response, identify any additional evidence needed, and explain any different measurement, scope, pricing, or policy basis. We would welcome a focused reinspection where observations differ.</w:t>
      </w:r>
    </w:p>
    <w:p>
      <w:r>
        <w:t>Thank you for reviewing the documentation.</w:t>
      </w:r>
    </w:p>
    <w:p>
      <w:r>
        <w:t>Sincerely,</w:t>
      </w:r>
    </w:p>
    <w:p>
      <w:r>
        <w:t>Synthetic estimator</w:t>
      </w:r>
    </w:p>
    <w:p>
      <w:r>
        <w:t>Attachments: reconciliation memorandum, operator checklist, evidence appendix. A revised licensed Xactimate estimate should be attached after operator reconciliation.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Roof Estimate Review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