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Roof Estimate Reconciliation Memorandum</w:t>
      </w:r>
    </w:p>
    <w:p>
      <w:r>
        <w:t>SYNTHETIC EXAMPLE - NOT FOR SUBMISSION</w:t>
      </w:r>
    </w:p>
    <w:p>
      <w:r>
        <w:t>Case SYN-TILE | Comparison date 2026-09-21 | Technical estimate preparation</w:t>
      </w:r>
    </w:p>
    <w:p>
      <w:r>
        <w:t>Please review the documented changes from $6,600.00 to $7,050.00 in direct construction costs before taxes and general overhead and profit, a net change of $450.00.</w:t>
      </w:r>
    </w:p>
    <w:p>
      <w:r>
        <w:t>The figures concern the specified construction work. They do not determine coverage or the amount currently payable.</w:t>
      </w:r>
    </w:p>
    <w:p>
      <w:pPr>
        <w:pStyle w:val="Heading1"/>
      </w:pPr>
      <w:r>
        <w:t>Estimates and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Role</w:t>
            </w:r>
          </w:p>
        </w:tc>
        <w:tc>
          <w:tcPr>
            <w:tcW w:type="dxa" w:w="2520"/>
          </w:tcPr>
          <w:p>
            <w:r>
              <w:t>Document</w:t>
            </w:r>
          </w:p>
        </w:tc>
        <w:tc>
          <w:tcPr>
            <w:tcW w:type="dxa" w:w="2520"/>
          </w:tcPr>
          <w:p>
            <w:r>
              <w:t>Version</w:t>
            </w:r>
          </w:p>
        </w:tc>
        <w:tc>
          <w:tcPr>
            <w:tcW w:type="dxa" w:w="2520"/>
          </w:tcPr>
          <w:p>
            <w:r>
              <w:t>Recorded date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D-520dd659127de253-baseline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2026-09-22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D-4be3da93eee26df5-proposed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2026-09-22</w:t>
            </w:r>
          </w:p>
        </w:tc>
      </w:tr>
    </w:tbl>
    <w:p/>
    <w:p>
      <w:r>
        <w:t>Confirm the date printed on each estimate. Intake receipt dates alone do not establish its pricing date.</w:t>
      </w:r>
    </w:p>
    <w:p>
      <w:r>
        <w:t>Pricing context: Synthetic Phoenix setting; no market prices supplied; list not supplied; month not supplied.</w:t>
      </w:r>
    </w:p>
    <w:p>
      <w:pPr>
        <w:pStyle w:val="Heading1"/>
      </w:pPr>
      <w:r>
        <w:t>Discrepancy schedule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Issue</w:t>
            </w:r>
          </w:p>
        </w:tc>
        <w:tc>
          <w:tcPr>
            <w:tcW w:type="dxa" w:w="2520"/>
          </w:tcPr>
          <w:p>
            <w:r>
              <w:t>Existing</w:t>
            </w:r>
          </w:p>
        </w:tc>
        <w:tc>
          <w:tcPr>
            <w:tcW w:type="dxa" w:w="2520"/>
          </w:tcPr>
          <w:p>
            <w:r>
              <w:t>Proposed</w:t>
            </w:r>
          </w:p>
        </w:tc>
        <w:tc>
          <w:tcPr>
            <w:tcW w:type="dxa" w:w="2520"/>
          </w:tcPr>
          <w:p>
            <w:r>
              <w:t>Change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I-001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$3,600.00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$3,600.00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I-002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$300.00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$300.00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I-003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$2,700.00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$3,150.00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$450.00</w:t>
            </w:r>
          </w:p>
        </w:tc>
      </w:tr>
    </w:tbl>
    <w:p/>
    <w:p>
      <w:pPr>
        <w:pStyle w:val="Heading1"/>
      </w:pPr>
      <w:r>
        <w:t>I-001 Tile lift and reset</w:t>
      </w:r>
    </w:p>
    <w:p>
      <w:r>
        <w:t>The synthetic case specifies reusable compatible tiles and access to the affected underlayment.</w:t>
      </w:r>
    </w:p>
    <w:p>
      <w:r>
        <w:t>The supplied scenario supports reuse, not replacement of all roof tile.</w:t>
      </w:r>
    </w:p>
    <w:p>
      <w:r>
        <w:t>Comparison: The two lines describe the same synthetic operation, location and specification.</w:t>
      </w:r>
    </w:p>
    <w:p>
      <w:r>
        <w:t>Calculation: $3,600.00 less $3,600.00 = $0.00.</w:t>
      </w:r>
    </w:p>
    <w:p>
      <w:r>
        <w:t>Evidence: E-BASE, E-PROP, E-NOTES.</w:t>
      </w:r>
    </w:p>
    <w:p>
      <w:r>
        <w:t>Competing explanation: Widespread handling damage could prevent reuse.</w:t>
      </w:r>
    </w:p>
    <w:p>
      <w:r>
        <w:t>Response or concession: No such finding is supplied; hold any additional tile quantity until documented.</w:t>
      </w:r>
    </w:p>
    <w:p>
      <w:r>
        <w:t>Requested action: Retain the bounded lift-and-reset scope.</w:t>
      </w:r>
    </w:p>
    <w:p>
      <w:r>
        <w:t>Scope: supported. Coverage: unknown.</w:t>
      </w:r>
    </w:p>
    <w:p>
      <w:pPr>
        <w:pStyle w:val="Heading1"/>
      </w:pPr>
      <w:r>
        <w:t>I-002 Compatible replacement tile</w:t>
      </w:r>
    </w:p>
    <w:p>
      <w:r>
        <w:t>Ten damaged units are identified in the synthetic record and compatible replacements are available.</w:t>
      </w:r>
    </w:p>
    <w:p>
      <w:r>
        <w:t>Individual replacement is feasible on the stipulated facts.</w:t>
      </w:r>
    </w:p>
    <w:p>
      <w:r>
        <w:t>Comparison: The two lines describe the same synthetic operation, location and specification.</w:t>
      </w:r>
    </w:p>
    <w:p>
      <w:r>
        <w:t>Calculation: $300.00 less $300.00 = $0.00.</w:t>
      </w:r>
    </w:p>
    <w:p>
      <w:r>
        <w:t>Evidence: E-BASE, E-PROP, E-NOTES.</w:t>
      </w:r>
    </w:p>
    <w:p>
      <w:r>
        <w:t>Competing explanation: Discontinued products can be unavailable or incompatible.</w:t>
      </w:r>
    </w:p>
    <w:p>
      <w:r>
        <w:t>Response or concession: This fictional sourcing record identifies compatible stock; discontinuation alone cannot defeat that evidence.</w:t>
      </w:r>
    </w:p>
    <w:p>
      <w:r>
        <w:t>Requested action: Retain replacement of ten documented damaged tiles.</w:t>
      </w:r>
    </w:p>
    <w:p>
      <w:r>
        <w:t>Scope: supported. Coverage: unknown.</w:t>
      </w:r>
    </w:p>
    <w:p>
      <w:pPr>
        <w:pStyle w:val="Heading1"/>
      </w:pPr>
      <w:r>
        <w:t>I-003 Underlayment installation</w:t>
      </w:r>
    </w:p>
    <w:p>
      <w:r>
        <w:t>The synthetic price record uses 175 per SQ for the specified replacement assembly, compared with 150 in the first estimate.</w:t>
      </w:r>
    </w:p>
    <w:p>
      <w:r>
        <w:t>The quantities and assembly are held constant to isolate the rate effect.</w:t>
      </w:r>
    </w:p>
    <w:p>
      <w:r>
        <w:t>Comparison: The two lines describe the same synthetic operation, location and specification.</w:t>
      </w:r>
    </w:p>
    <w:p>
      <w:r>
        <w:t>Calculation: $3,150.00 less $2,700.00 = $450.00.</w:t>
      </w:r>
    </w:p>
    <w:p>
      <w:r>
        <w:t>Attribution: price $450.00.</w:t>
      </w:r>
    </w:p>
    <w:p>
      <w:r>
        <w:t>Evidence: E-BASE, E-PROP, E-NOTES.</w:t>
      </w:r>
    </w:p>
    <w:p>
      <w:r>
        <w:t>Competing explanation: The higher quote may include an upgrade or work already counted.</w:t>
      </w:r>
    </w:p>
    <w:p>
      <w:r>
        <w:t>Response or concession: The fixture holds specification and included work constant. A real case needs comparable dated pricing and licensed item detail.</w:t>
      </w:r>
    </w:p>
    <w:p>
      <w:r>
        <w:t>Requested action: Review the supported rate difference for the same underlayment scope.</w:t>
      </w:r>
    </w:p>
    <w:p>
      <w:r>
        <w:t>Scope: supported. Coverage: unknown.</w:t>
      </w:r>
    </w:p>
    <w:p>
      <w:pPr>
        <w:pStyle w:val="Heading1"/>
      </w:pPr>
      <w:r>
        <w:t>Financial reconciliation</w:t>
      </w:r>
    </w:p>
    <w:p>
      <w:r>
        <w:t>The direct-cost comparison and subsequent estimate adjustments are separate from policy settlement.</w:t>
      </w:r>
    </w:p>
    <w:p>
      <w:r>
        <w:t>Baseline: direct costs $6,600.00; estimate total on the specified adjustment basis $6,600.00. Basis: no adjustments specified not verified zero.</w:t>
      </w:r>
    </w:p>
    <w:p>
      <w:r>
        <w:t>Proposed: direct costs $7,050.00; estimate total on the specified adjustment basis $7,050.00. Basis: no adjustments specified not verified zero.</w:t>
      </w:r>
    </w:p>
    <w:p>
      <w:r>
        <w:t>Payment scenario: not supplied or not calculable.</w:t>
      </w:r>
    </w:p>
    <w:p>
      <w:r>
        <w:t>Amount currently payable: not determined.</w:t>
      </w:r>
    </w:p>
    <w:p>
      <w:r>
        <w:t>Absent tax or markup inputs mean not specified, rather than verified zero. Any payment scenario is an explicit calculation supplied for review; it is not a coverage decision.</w:t>
      </w:r>
    </w:p>
    <w:p>
      <w:pPr>
        <w:pStyle w:val="Heading1"/>
      </w:pPr>
      <w:r>
        <w:t>Open items and next action</w:t>
      </w:r>
    </w:p>
    <w:p>
      <w:r>
        <w:t>Confirm source readings, sender authority, and the licensed Xactimate entry and export before release.</w:t>
      </w:r>
    </w:p>
    <w:p>
      <w:r>
        <w:t>Numeric source review: 0 of 20 readings have recorded human confirmation. AI or synthetic checks do not count as human confirmation.</w:t>
      </w:r>
    </w:p>
    <w:p>
      <w:r>
        <w:t>Please respond by issue ID, stating whether each item is accepted, needs further evidence, or remains disputed. A focused reinspection can address differing observations at the named locations.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Review draft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Roof Estimate Reconciliation Memorandum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