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 Unicode MS" w:hAnsi="Arial Unicode MS" w:eastAsia="Arial Unicode MS"/>
          <w:b/>
          <w:color w:val="1F4D78"/>
          <w:sz w:val="44"/>
        </w:rPr>
        <w:t>History case 04 | Different-gene negative control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666666"/>
          <w:sz w:val="21"/>
        </w:rPr>
        <w:t>Synthetic history fixture for gene matching, relevance filtering, and case-retrieval toggles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Patient ID：</w:t>
      </w:r>
      <w:r>
        <w:rPr>
          <w:rFonts w:ascii="Arial Unicode MS" w:hAnsi="Arial Unicode MS" w:eastAsia="Arial Unicode MS"/>
          <w:b w:val="0"/>
          <w:sz w:val="22"/>
        </w:rPr>
        <w:t>SIM-MOL-HIST-CTRL-004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Tumor board type：</w:t>
      </w:r>
      <w:r>
        <w:rPr>
          <w:rFonts w:ascii="Arial Unicode MS" w:hAnsi="Arial Unicode MS" w:eastAsia="Arial Unicode MS"/>
          <w:b w:val="0"/>
          <w:sz w:val="22"/>
        </w:rPr>
        <w:t>Molecular tumor board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Age / sex：</w:t>
      </w:r>
      <w:r>
        <w:rPr>
          <w:rFonts w:ascii="Arial Unicode MS" w:hAnsi="Arial Unicode MS" w:eastAsia="Arial Unicode MS"/>
          <w:b w:val="0"/>
          <w:sz w:val="22"/>
        </w:rPr>
        <w:t>51 years / male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ECOG：</w:t>
      </w:r>
      <w:r>
        <w:rPr>
          <w:rFonts w:ascii="Arial Unicode MS" w:hAnsi="Arial Unicode MS" w:eastAsia="Arial Unicode MS"/>
          <w:b w:val="0"/>
          <w:sz w:val="22"/>
        </w:rPr>
        <w:t>0–1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Main diagnosis：</w:t>
      </w:r>
      <w:r>
        <w:rPr>
          <w:rFonts w:ascii="Arial Unicode MS" w:hAnsi="Arial Unicode MS" w:eastAsia="Arial Unicode MS"/>
          <w:b w:val="0"/>
          <w:sz w:val="22"/>
        </w:rPr>
        <w:t>NPM1-mutated AML, FLT3-ITD positive</w:t>
      </w:r>
    </w:p>
    <w:p>
      <w:pPr>
        <w:spacing w:after="80"/>
      </w:pPr>
      <w:r>
        <w:rPr>
          <w:rFonts w:ascii="Arial Unicode MS" w:hAnsi="Arial Unicode MS" w:eastAsia="Arial Unicode MS"/>
          <w:b/>
          <w:sz w:val="22"/>
        </w:rPr>
        <w:t>Data status：</w:t>
      </w:r>
      <w:r>
        <w:rPr>
          <w:rFonts w:ascii="Arial Unicode MS" w:hAnsi="Arial Unicode MS" w:eastAsia="Arial Unicode MS"/>
          <w:b w:val="0"/>
          <w:sz w:val="22"/>
        </w:rPr>
        <w:t>Fully synthetic; no real patient correspondence</w:t>
      </w:r>
    </w:p>
    <w:p>
      <w:pPr>
        <w:pStyle w:val="Heading2"/>
      </w:pPr>
      <w:r>
        <w:t>Clinical course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The patient received intensive induction plus a FLT3 inhibitor, achieved complete remission, and proceeded to consolidation.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This case contains no KIT alteration and tests that molecular gene matching does not select a case solely because the disease name is AML.</w:t>
      </w:r>
    </w:p>
    <w:p>
      <w:pPr>
        <w:pStyle w:val="Heading2"/>
      </w:pPr>
      <w:r>
        <w:t>Tumor board question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Historical decision: use FLT3-targeted therapy and monitor NPM1 MRD; the strategy has no direct correspondence to KIT D816V.</w:t>
      </w:r>
    </w:p>
    <w:p>
      <w:pPr>
        <w:pStyle w:val="Heading1"/>
      </w:pPr>
      <w:r>
        <w:t>Molekulares Tumorboard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FLT3-ITD, VAF 24%; laboratory classification: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NGS variant: NPM1 (NM_002520.7) c.860_863dup, p.Trp288CysfsTer12, VAF 39%; classification: Oncogenic.</w:t>
      </w:r>
    </w:p>
    <w:p>
      <w:pPr>
        <w:spacing w:after="100"/>
      </w:pPr>
      <w:r>
        <w:rPr>
          <w:rFonts w:ascii="Arial Unicode MS" w:hAnsi="Arial Unicode MS" w:eastAsia="Arial Unicode MS"/>
          <w:b w:val="0"/>
          <w:sz w:val="22"/>
        </w:rPr>
        <w:t>FISH/karyotype: normal karyotype; common AML rearrangement probes were negative.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b w:val="0"/>
        <w:color w:val="666666"/>
        <w:sz w:val="17"/>
      </w:rPr>
      <w:t>Synthetic teaching data | No real patient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color w:val="666666"/>
        <w:sz w:val="18"/>
      </w:rPr>
      <w:t>HemaGuide | MOLECULAR mode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