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 Unicode MS" w:hAnsi="Arial Unicode MS" w:eastAsia="Arial Unicode MS"/>
          <w:b/>
          <w:color w:val="1F4D78"/>
          <w:sz w:val="44"/>
        </w:rPr>
        <w:t>History case 02 | KIT D816V with persistent MRD</w:t>
      </w:r>
    </w:p>
    <w:p>
      <w:pPr>
        <w:spacing w:after="280"/>
      </w:pPr>
      <w:r>
        <w:rPr>
          <w:rFonts w:ascii="Arial Unicode MS" w:hAnsi="Arial Unicode MS" w:eastAsia="Arial Unicode MS"/>
          <w:b w:val="0"/>
          <w:color w:val="666666"/>
          <w:sz w:val="21"/>
        </w:rPr>
        <w:t>Synthetic history fixture for gene matching, relevance filtering, and case-retrieval toggles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Patient ID：</w:t>
      </w:r>
      <w:r>
        <w:rPr>
          <w:rFonts w:ascii="Arial Unicode MS" w:hAnsi="Arial Unicode MS" w:eastAsia="Arial Unicode MS"/>
          <w:b w:val="0"/>
          <w:sz w:val="22"/>
        </w:rPr>
        <w:t>SIM-MOL-HIST-KIT-002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Tumor board type：</w:t>
      </w:r>
      <w:r>
        <w:rPr>
          <w:rFonts w:ascii="Arial Unicode MS" w:hAnsi="Arial Unicode MS" w:eastAsia="Arial Unicode MS"/>
          <w:b w:val="0"/>
          <w:sz w:val="22"/>
        </w:rPr>
        <w:t>Molecular tumor board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Age / sex：</w:t>
      </w:r>
      <w:r>
        <w:rPr>
          <w:rFonts w:ascii="Arial Unicode MS" w:hAnsi="Arial Unicode MS" w:eastAsia="Arial Unicode MS"/>
          <w:b w:val="0"/>
          <w:sz w:val="22"/>
        </w:rPr>
        <w:t>57 years / male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ECOG：</w:t>
      </w:r>
      <w:r>
        <w:rPr>
          <w:rFonts w:ascii="Arial Unicode MS" w:hAnsi="Arial Unicode MS" w:eastAsia="Arial Unicode MS"/>
          <w:b w:val="0"/>
          <w:sz w:val="22"/>
        </w:rPr>
        <w:t>0–1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Main diagnosis：</w:t>
      </w:r>
      <w:r>
        <w:rPr>
          <w:rFonts w:ascii="Arial Unicode MS" w:hAnsi="Arial Unicode MS" w:eastAsia="Arial Unicode MS"/>
          <w:b w:val="0"/>
          <w:sz w:val="22"/>
        </w:rPr>
        <w:t>Core-binding-factor AML, RUNX1::RUNX1T1 positive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Data status：</w:t>
      </w:r>
      <w:r>
        <w:rPr>
          <w:rFonts w:ascii="Arial Unicode MS" w:hAnsi="Arial Unicode MS" w:eastAsia="Arial Unicode MS"/>
          <w:b w:val="0"/>
          <w:sz w:val="22"/>
        </w:rPr>
        <w:t>Fully synthetic; no real patient correspondence</w:t>
      </w:r>
    </w:p>
    <w:p>
      <w:pPr>
        <w:pStyle w:val="Heading2"/>
      </w:pPr>
      <w:r>
        <w:t>Clinical course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Standard intensive induction produced morphologic complete remission, but RUNX1::RUNX1T1 MRD reduction was inadequate.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Molecular MRD remained positive after two consolidation cycles. Multidisciplinary review led to allogeneic transplant evaluation, modeling an MRD-driven escalation decision.</w:t>
      </w:r>
    </w:p>
    <w:p>
      <w:pPr>
        <w:pStyle w:val="Heading2"/>
      </w:pPr>
      <w:r>
        <w:t>Tumor board question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Historical decision: KIT alone did not determine transplant; persistent molecular MRD prompted intensified salvage and allogeneic transplant assessment.</w:t>
      </w:r>
    </w:p>
    <w:p>
      <w:pPr>
        <w:pStyle w:val="Heading1"/>
      </w:pPr>
      <w:r>
        <w:t>Molekulares Tumorboard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NGS variant: KIT (NM_000222.3) c.2447A&gt;T, p.Asp816Val (p.D816V), VAF 42%, COSMIC ID COSM1314; classification: Oncogenic.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FISH/fusion: t(8;21)/RUNX1::RUNX1T1 positive in 69% of evaluated cells.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Outcome: morphologic remission with persistent RUNX1::RUNX1T1 molecular MRD positivity.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/>
        <w:b w:val="0"/>
        <w:color w:val="666666"/>
        <w:sz w:val="17"/>
      </w:rPr>
      <w:t>Synthetic teaching data | No real patient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 w:val="0"/>
        <w:color w:val="666666"/>
        <w:sz w:val="18"/>
      </w:rPr>
      <w:t>HemaGuide | MOLECULAR mode test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