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 Unicode MS" w:hAnsi="Arial Unicode MS" w:eastAsia="Arial Unicode MS"/>
          <w:b/>
          <w:color w:val="1F4D78"/>
          <w:sz w:val="44"/>
        </w:rPr>
        <w:t>History case 03 | Same KIT gene, different variant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666666"/>
          <w:sz w:val="21"/>
        </w:rPr>
        <w:t>Synthetic history fixture for gene matching, relevance filtering, and case-retrieval toggles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Patient ID：</w:t>
      </w:r>
      <w:r>
        <w:rPr>
          <w:rFonts w:ascii="Arial Unicode MS" w:hAnsi="Arial Unicode MS" w:eastAsia="Arial Unicode MS"/>
          <w:b w:val="0"/>
          <w:sz w:val="22"/>
        </w:rPr>
        <w:t>SIM-MOL-HIST-KIT-003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Tumor board type：</w:t>
      </w:r>
      <w:r>
        <w:rPr>
          <w:rFonts w:ascii="Arial Unicode MS" w:hAnsi="Arial Unicode MS" w:eastAsia="Arial Unicode MS"/>
          <w:b w:val="0"/>
          <w:sz w:val="22"/>
        </w:rPr>
        <w:t>Molecular tumor board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Age / sex：</w:t>
      </w:r>
      <w:r>
        <w:rPr>
          <w:rFonts w:ascii="Arial Unicode MS" w:hAnsi="Arial Unicode MS" w:eastAsia="Arial Unicode MS"/>
          <w:b w:val="0"/>
          <w:sz w:val="22"/>
        </w:rPr>
        <w:t>49 years / female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ECOG：</w:t>
      </w:r>
      <w:r>
        <w:rPr>
          <w:rFonts w:ascii="Arial Unicode MS" w:hAnsi="Arial Unicode MS" w:eastAsia="Arial Unicode MS"/>
          <w:b w:val="0"/>
          <w:sz w:val="22"/>
        </w:rPr>
        <w:t>0–1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Main diagnosis：</w:t>
      </w:r>
      <w:r>
        <w:rPr>
          <w:rFonts w:ascii="Arial Unicode MS" w:hAnsi="Arial Unicode MS" w:eastAsia="Arial Unicode MS"/>
          <w:b w:val="0"/>
          <w:sz w:val="22"/>
        </w:rPr>
        <w:t>Core-binding-factor AML, CBFB::MYH11 positive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Data status：</w:t>
      </w:r>
      <w:r>
        <w:rPr>
          <w:rFonts w:ascii="Arial Unicode MS" w:hAnsi="Arial Unicode MS" w:eastAsia="Arial Unicode MS"/>
          <w:b w:val="0"/>
          <w:sz w:val="22"/>
        </w:rPr>
        <w:t>Fully synthetic; no real patient correspondence</w:t>
      </w:r>
    </w:p>
    <w:p>
      <w:pPr>
        <w:pStyle w:val="Heading2"/>
      </w:pPr>
      <w:r>
        <w:t>Clinical course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The patient achieved complete remission after intensive induction and cytarabine consolidation. The KIT variant differed from the query case.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Response was followed using quantitative CBFB::MYH11 and flow MRD; no relapse occurred during 18 months of follow-up.</w:t>
      </w:r>
    </w:p>
    <w:p>
      <w:pPr>
        <w:pStyle w:val="Heading2"/>
      </w:pPr>
      <w:r>
        <w:t>Tumor board question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Historical decision: treat as core-binding-factor AML; record KIT p.N822K as risk context, while escalation depends on MRD kinetics rather than gene-name matching alone.</w:t>
      </w:r>
    </w:p>
    <w:p>
      <w:pPr>
        <w:pStyle w:val="Heading1"/>
      </w:pPr>
      <w:r>
        <w:t>Molekulares Tumorboard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NGS variant: KIT (NM_000222.3) c.2466T&gt;G, p.Asn822Lys (p.N822K), VAF 18%; laboratory classification: Likely Oncogenic.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FISH/fusion: inv(16)/CBFB::MYH11 positive in 71% of evaluated cells.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Outcome: complete remission with CBFB::MYH11 molecular MRD negativity.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Synthetic teaching data | No real patient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color w:val="666666"/>
        <w:sz w:val="18"/>
      </w:rPr>
      <w:t>HemaGuide | MOLECULAR mode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