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 Unicode MS" w:hAnsi="Arial Unicode MS" w:eastAsia="Arial Unicode MS"/>
          <w:b/>
          <w:color w:val="1F4D78"/>
          <w:sz w:val="44"/>
        </w:rPr>
        <w:t>MOLECULAR query case | KIT D816V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666666"/>
          <w:sz w:val="21"/>
        </w:rPr>
        <w:t>Synthetic fixture for molecular routing, case-retrieval toggles, and evidence output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Patient ID：</w:t>
      </w:r>
      <w:r>
        <w:rPr>
          <w:rFonts w:ascii="Arial Unicode MS" w:hAnsi="Arial Unicode MS" w:eastAsia="Arial Unicode MS"/>
          <w:b w:val="0"/>
          <w:sz w:val="22"/>
        </w:rPr>
        <w:t>SIM-MOL-QUERY-KIT-001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Tumor board type：</w:t>
      </w:r>
      <w:r>
        <w:rPr>
          <w:rFonts w:ascii="Arial Unicode MS" w:hAnsi="Arial Unicode MS" w:eastAsia="Arial Unicode MS"/>
          <w:b w:val="0"/>
          <w:sz w:val="22"/>
        </w:rPr>
        <w:t>Molecular tumor board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Age / sex：</w:t>
      </w:r>
      <w:r>
        <w:rPr>
          <w:rFonts w:ascii="Arial Unicode MS" w:hAnsi="Arial Unicode MS" w:eastAsia="Arial Unicode MS"/>
          <w:b w:val="0"/>
          <w:sz w:val="22"/>
        </w:rPr>
        <w:t>42 years / male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ECOG：</w:t>
      </w:r>
      <w:r>
        <w:rPr>
          <w:rFonts w:ascii="Arial Unicode MS" w:hAnsi="Arial Unicode MS" w:eastAsia="Arial Unicode MS"/>
          <w:b w:val="0"/>
          <w:sz w:val="22"/>
        </w:rPr>
        <w:t>1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Main diagnosis：</w:t>
      </w:r>
      <w:r>
        <w:rPr>
          <w:rFonts w:ascii="Arial Unicode MS" w:hAnsi="Arial Unicode MS" w:eastAsia="Arial Unicode MS"/>
          <w:b w:val="0"/>
          <w:sz w:val="22"/>
        </w:rPr>
        <w:t>Core-binding-factor AML, RUNX1::RUNX1T1 positive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Current status：</w:t>
      </w:r>
      <w:r>
        <w:rPr>
          <w:rFonts w:ascii="Arial Unicode MS" w:hAnsi="Arial Unicode MS" w:eastAsia="Arial Unicode MS"/>
          <w:b w:val="0"/>
          <w:sz w:val="22"/>
        </w:rPr>
        <w:t>New diagnosis; no prior AML-specific induction therapy</w:t>
      </w:r>
    </w:p>
    <w:p>
      <w:pPr>
        <w:pStyle w:val="Heading2"/>
      </w:pPr>
      <w:r>
        <w:t>Clinical course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The patient presented with fatigue, fever, and thrombocytopenia. Bone marrow blasts were 61%, and flow cytometry supported AML.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Cytogenetics showed t(8;21)(q22;q22.1), with quantitative RUNX1::RUNX1T1 positivity. Cardiac, hepatic, and renal function permitted intensive therapy; infection was controlled.</w:t>
      </w:r>
    </w:p>
    <w:p>
      <w:pPr>
        <w:pStyle w:val="Heading2"/>
      </w:pPr>
      <w:r>
        <w:t>Tumor board question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Assess the oncogenicity of KIT p.D816V, its implications for relapse risk and MRD management, and propose treatment using historical cases, literature, and meeting evidence.</w:t>
      </w:r>
    </w:p>
    <w:p>
      <w:pPr>
        <w:pStyle w:val="Heading1"/>
      </w:pPr>
      <w:r>
        <w:t>Molekulares Tumorboard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NGS variant: KIT (NM_000222.3) c.2447A&gt;T, p.Asp816Val (p.D816V), VAF 37.2%, COSMIC ID COSM1314; laboratory classification: Oncogenic.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Cytogenetics/FISH: t(8;21)(q22;q22.1)/RUNX1::RUNX1T1 positive in 82% of evaluated cells.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Molecular tumor board decision: determine whether KIT D816V modifies treatment, consolidation, or MRD follow-up in core-binding-factor AML.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/>
        <w:b w:val="0"/>
        <w:color w:val="666666"/>
        <w:sz w:val="17"/>
      </w:rPr>
      <w:t>Synthetic teaching data | No real patient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 w:val="0"/>
        <w:color w:val="666666"/>
        <w:sz w:val="18"/>
      </w:rPr>
      <w:t>HemaGuide | MOLECULAR mode test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