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LEU-008 | 急性早幼粒细胞白血病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SYN-LEU-008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34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急性早幼粒细胞白血病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初诊高危、DIC</w:t>
            </w:r>
          </w:p>
        </w:tc>
      </w:tr>
    </w:tbl>
    <w:p>
      <w:pPr>
        <w:pStyle w:val="Heading1"/>
      </w:pPr>
      <w:r>
        <w:t>预后与分子因素</w:t>
      </w:r>
    </w:p>
    <w:p>
      <w:r>
        <w:t>PML::RARA阳性，白细胞28×10^9/L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入院时凝血功能障碍和齿龈出血，已立即启动ATRA。</w:t>
      </w:r>
    </w:p>
    <w:p>
      <w:pPr>
        <w:pStyle w:val="Heading1"/>
      </w:pPr>
      <w:r>
        <w:t>肿瘤委员会问题</w:t>
      </w:r>
    </w:p>
    <w:p>
      <w:r>
        <w:t>如何安排诱导和凝血支持？</w:t>
      </w:r>
    </w:p>
    <w:p>
      <w:pPr>
        <w:pStyle w:val="Heading1"/>
      </w:pPr>
      <w:r>
        <w:t>历史会议决定</w:t>
      </w:r>
    </w:p>
    <w:p>
      <w:r>
        <w:t>按高危APL立即进行ATRA为基础的诱导，密切纠正凝血异常并防治分化综合征。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