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LEU-012 | ETP-ALL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SYN-LEU-012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22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ETP-ALL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诱导失败</w:t>
            </w:r>
          </w:p>
        </w:tc>
      </w:tr>
    </w:tbl>
    <w:p>
      <w:pPr>
        <w:pStyle w:val="Heading1"/>
      </w:pPr>
      <w:r>
        <w:t>预后与分子因素</w:t>
      </w:r>
    </w:p>
    <w:p>
      <w:r>
        <w:t>ETP免疫表型，NOTCH1阴性</w:t>
      </w:r>
    </w:p>
    <w:p>
      <w:pPr>
        <w:pStyle w:val="Heading1"/>
      </w:pPr>
      <w:r>
        <w:t>既往治疗</w:t>
      </w:r>
    </w:p>
    <w:p>
      <w:r>
        <w:t>儿童样ALL诱导</w:t>
      </w:r>
    </w:p>
    <w:p>
      <w:pPr>
        <w:pStyle w:val="Heading1"/>
      </w:pPr>
      <w:r>
        <w:t>临床经过</w:t>
      </w:r>
    </w:p>
    <w:p>
      <w:r>
        <w:t>诱导后骨髓原始细胞19%，供者搜索进行中。</w:t>
      </w:r>
    </w:p>
    <w:p>
      <w:pPr>
        <w:pStyle w:val="Heading1"/>
      </w:pPr>
      <w:r>
        <w:t>肿瘤委员会问题</w:t>
      </w:r>
    </w:p>
    <w:p>
      <w:r>
        <w:t>如何挽救并获得移植前缓解？</w:t>
      </w:r>
    </w:p>
    <w:p>
      <w:pPr>
        <w:pStyle w:val="Heading1"/>
      </w:pPr>
      <w:r>
        <w:t>历史会议决定</w:t>
      </w:r>
    </w:p>
    <w:p>
      <w:r>
        <w:t>采用适合T系的挽救方案或临床试验，尽快降低疾病负荷并衔接异基因移植。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