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LEU-013 | T-ALL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SYN-LEU-013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leukemia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31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女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0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T-ALL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巩固期MRD持续阳性</w:t>
            </w:r>
          </w:p>
        </w:tc>
      </w:tr>
    </w:tbl>
    <w:p>
      <w:pPr>
        <w:pStyle w:val="Heading1"/>
      </w:pPr>
      <w:r>
        <w:t>预后与分子因素</w:t>
      </w:r>
    </w:p>
    <w:p>
      <w:r>
        <w:t>NOTCH1突变，流式MRD 0.08%</w:t>
      </w:r>
    </w:p>
    <w:p>
      <w:pPr>
        <w:pStyle w:val="Heading1"/>
      </w:pPr>
      <w:r>
        <w:t>既往治疗</w:t>
      </w:r>
    </w:p>
    <w:p>
      <w:r>
        <w:t>多药ALL诱导和早期巩固</w:t>
      </w:r>
    </w:p>
    <w:p>
      <w:pPr>
        <w:pStyle w:val="Heading1"/>
      </w:pPr>
      <w:r>
        <w:t>临床经过</w:t>
      </w:r>
    </w:p>
    <w:p>
      <w:r>
        <w:t>形态学缓解，MRD下降不足。</w:t>
      </w:r>
    </w:p>
    <w:p>
      <w:pPr>
        <w:pStyle w:val="Heading1"/>
      </w:pPr>
      <w:r>
        <w:t>肿瘤委员会问题</w:t>
      </w:r>
    </w:p>
    <w:p>
      <w:r>
        <w:t>MRD阳性是否应改变巩固并进入移植？</w:t>
      </w:r>
    </w:p>
    <w:p>
      <w:pPr>
        <w:pStyle w:val="Heading1"/>
      </w:pPr>
      <w:r>
        <w:t>历史会议决定</w:t>
      </w:r>
    </w:p>
    <w:p>
      <w:r>
        <w:t>复核MRD并进行治疗强化，将持续MRD作为高危因素评估异基因移植。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LEU-013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