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LEU-014 | 混合表型急性白血病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SYN-LEU-014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36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混合表型急性白血病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初诊、系别模糊</w:t>
            </w:r>
          </w:p>
        </w:tc>
      </w:tr>
    </w:tbl>
    <w:p>
      <w:pPr>
        <w:pStyle w:val="Heading1"/>
      </w:pPr>
      <w:r>
        <w:t>预后与分子因素</w:t>
      </w:r>
    </w:p>
    <w:p>
      <w:r>
        <w:t>B/髓系MPAL，KMT2A重排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骨髓同时表达B系与髓系标志，无中枢侵犯。</w:t>
      </w:r>
    </w:p>
    <w:p>
      <w:pPr>
        <w:pStyle w:val="Heading1"/>
      </w:pPr>
      <w:r>
        <w:t>肿瘤委员会问题</w:t>
      </w:r>
    </w:p>
    <w:p>
      <w:r>
        <w:t>应选ALL样还是AML样诱导？</w:t>
      </w:r>
    </w:p>
    <w:p>
      <w:pPr>
        <w:pStyle w:val="Heading1"/>
      </w:pPr>
      <w:r>
        <w:t>历史会议决定</w:t>
      </w:r>
    </w:p>
    <w:p>
      <w:r>
        <w:t>经专家病理复核后优先采用ALL导向方案，依据MRD尽快评估移植。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