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LEU-015 | 慢性髓性白血病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SYN-LEU-015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leukemia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52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女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0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慢性髓性白血病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慢性期、一线不耐受</w:t>
            </w:r>
          </w:p>
        </w:tc>
      </w:tr>
    </w:tbl>
    <w:p>
      <w:pPr>
        <w:pStyle w:val="Heading1"/>
      </w:pPr>
      <w:r>
        <w:t>预后与分子因素</w:t>
      </w:r>
    </w:p>
    <w:p>
      <w:r>
        <w:t>BCR::ABL1 e14a2，无耐药突变</w:t>
      </w:r>
    </w:p>
    <w:p>
      <w:pPr>
        <w:pStyle w:val="Heading1"/>
      </w:pPr>
      <w:r>
        <w:t>既往治疗</w:t>
      </w:r>
    </w:p>
    <w:p>
      <w:r>
        <w:t>imatinib后水肿和肌痛</w:t>
      </w:r>
    </w:p>
    <w:p>
      <w:pPr>
        <w:pStyle w:val="Heading1"/>
      </w:pPr>
      <w:r>
        <w:t>临床经过</w:t>
      </w:r>
    </w:p>
    <w:p>
      <w:r>
        <w:t>3个月BCR::ABL1 7.8%，依从性良好。</w:t>
      </w:r>
    </w:p>
    <w:p>
      <w:pPr>
        <w:pStyle w:val="Heading1"/>
      </w:pPr>
      <w:r>
        <w:t>肿瘤委员会问题</w:t>
      </w:r>
    </w:p>
    <w:p>
      <w:r>
        <w:t>如何在不耐受时更换TKI？</w:t>
      </w:r>
    </w:p>
    <w:p>
      <w:pPr>
        <w:pStyle w:val="Heading1"/>
      </w:pPr>
      <w:r>
        <w:t>历史会议决定</w:t>
      </w:r>
    </w:p>
    <w:p>
      <w:r>
        <w:t>复核交互作用和心血管风险，选择替代TKI并按时监测BCR::ABL1。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LEU-015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