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LEU-018 | 慢性髓单核细胞白血病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SYN-LEU-018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72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慢性髓单核细胞白血病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增殖型、高危</w:t>
            </w:r>
          </w:p>
        </w:tc>
      </w:tr>
    </w:tbl>
    <w:p>
      <w:pPr>
        <w:pStyle w:val="Heading1"/>
      </w:pPr>
      <w:r>
        <w:t>预后与分子因素</w:t>
      </w:r>
    </w:p>
    <w:p>
      <w:r>
        <w:t>ASXL1、NRAS和SRSF2突变</w:t>
      </w:r>
    </w:p>
    <w:p>
      <w:pPr>
        <w:pStyle w:val="Heading1"/>
      </w:pPr>
      <w:r>
        <w:t>既往治疗</w:t>
      </w:r>
    </w:p>
    <w:p>
      <w:r>
        <w:t>hydroxyurea</w:t>
      </w:r>
    </w:p>
    <w:p>
      <w:pPr>
        <w:pStyle w:val="Heading1"/>
      </w:pPr>
      <w:r>
        <w:t>临床经过</w:t>
      </w:r>
    </w:p>
    <w:p>
      <w:r>
        <w:t>白细胞持续升高，输血依赖，脾大。</w:t>
      </w:r>
    </w:p>
    <w:p>
      <w:pPr>
        <w:pStyle w:val="Heading1"/>
      </w:pPr>
      <w:r>
        <w:t>肿瘤委员会问题</w:t>
      </w:r>
    </w:p>
    <w:p>
      <w:r>
        <w:t>是否应使用去甲基化治疗？</w:t>
      </w:r>
    </w:p>
    <w:p>
      <w:pPr>
        <w:pStyle w:val="Heading1"/>
      </w:pPr>
      <w:r>
        <w:t>历史会议决定</w:t>
      </w:r>
    </w:p>
    <w:p>
      <w:r>
        <w:t>以症状、细胞减少和进展风险为基础启动去甲基化治疗，体能允许时评估移植。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