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LEU-019 | 慢性髓单核细胞白血病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SYN-LEU-019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66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慢性髓单核细胞白血病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向AML转化</w:t>
            </w:r>
          </w:p>
        </w:tc>
      </w:tr>
    </w:tbl>
    <w:p>
      <w:pPr>
        <w:pStyle w:val="Heading1"/>
      </w:pPr>
      <w:r>
        <w:t>预后与分子因素</w:t>
      </w:r>
    </w:p>
    <w:p>
      <w:r>
        <w:t>NRAS、SETBP1突变，原始细胞24%</w:t>
      </w:r>
    </w:p>
    <w:p>
      <w:pPr>
        <w:pStyle w:val="Heading1"/>
      </w:pPr>
      <w:r>
        <w:t>既往治疗</w:t>
      </w:r>
    </w:p>
    <w:p>
      <w:r>
        <w:t>azacitidine 8个疗程</w:t>
      </w:r>
    </w:p>
    <w:p>
      <w:pPr>
        <w:pStyle w:val="Heading1"/>
      </w:pPr>
      <w:r>
        <w:t>临床经过</w:t>
      </w:r>
    </w:p>
    <w:p>
      <w:r>
        <w:t>进行性细胞减少和盗汗，伴慢性肺病。</w:t>
      </w:r>
    </w:p>
    <w:p>
      <w:pPr>
        <w:pStyle w:val="Heading1"/>
      </w:pPr>
      <w:r>
        <w:t>肿瘤委员会问题</w:t>
      </w:r>
    </w:p>
    <w:p>
      <w:r>
        <w:t>转化后如何选择低强度方案？</w:t>
      </w:r>
    </w:p>
    <w:p>
      <w:pPr>
        <w:pStyle w:val="Heading1"/>
      </w:pPr>
      <w:r>
        <w:t>历史会议决定</w:t>
      </w:r>
    </w:p>
    <w:p>
      <w:r>
        <w:t>结合器官功能选择AML导向的低强度组合，并评估临床试验。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