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LEU-025 | 系统性肥大细胞增生症伴髓系肿瘤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SYN-LEU-025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57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系统性肥大细胞增生症伴髓系肿瘤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进展性、器官损害</w:t>
            </w:r>
          </w:p>
        </w:tc>
      </w:tr>
    </w:tbl>
    <w:p>
      <w:pPr>
        <w:pStyle w:val="Heading1"/>
      </w:pPr>
      <w:r>
        <w:t>预后与分子因素</w:t>
      </w:r>
    </w:p>
    <w:p>
      <w:r>
        <w:t>KIT D816V，SRSF2/ASXL1突变</w:t>
      </w:r>
    </w:p>
    <w:p>
      <w:pPr>
        <w:pStyle w:val="Heading1"/>
      </w:pPr>
      <w:r>
        <w:t>既往治疗</w:t>
      </w:r>
    </w:p>
    <w:p>
      <w:r>
        <w:t>midostaurin</w:t>
      </w:r>
    </w:p>
    <w:p>
      <w:pPr>
        <w:pStyle w:val="Heading1"/>
      </w:pPr>
      <w:r>
        <w:t>临床经过</w:t>
      </w:r>
    </w:p>
    <w:p>
      <w:r>
        <w:t>脾大、贫血和胆红素升高，药物治疗后再次进展。</w:t>
      </w:r>
    </w:p>
    <w:p>
      <w:pPr>
        <w:pStyle w:val="Heading1"/>
      </w:pPr>
      <w:r>
        <w:t>肿瘤委员会问题</w:t>
      </w:r>
    </w:p>
    <w:p>
      <w:r>
        <w:t>是否更换强效KIT抑制剂并评估移植？</w:t>
      </w:r>
    </w:p>
    <w:p>
      <w:pPr>
        <w:pStyle w:val="Heading1"/>
      </w:pPr>
      <w:r>
        <w:t>历史会议决定</w:t>
      </w:r>
    </w:p>
    <w:p>
      <w:r>
        <w:t>更换更强效的KIT导向治疗，结合伴发髓系肿瘤和体能评估移植。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