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LEU-027 | MECOM重排AML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SYN-LEU-027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50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MECOM重排AML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初诊、不良风险</w:t>
            </w:r>
          </w:p>
        </w:tc>
      </w:tr>
    </w:tbl>
    <w:p>
      <w:pPr>
        <w:pStyle w:val="Heading1"/>
      </w:pPr>
      <w:r>
        <w:t>预后与分子因素</w:t>
      </w:r>
    </w:p>
    <w:p>
      <w:r>
        <w:t>inv(3)/MECOM，单7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伴明显血小板增多和进行性贫血，配型已启动。</w:t>
      </w:r>
    </w:p>
    <w:p>
      <w:pPr>
        <w:pStyle w:val="Heading1"/>
      </w:pPr>
      <w:r>
        <w:t>肿瘤委员会问题</w:t>
      </w:r>
    </w:p>
    <w:p>
      <w:r>
        <w:t>是否应直接规划首次缓解期移植？</w:t>
      </w:r>
    </w:p>
    <w:p>
      <w:pPr>
        <w:pStyle w:val="Heading1"/>
      </w:pPr>
      <w:r>
        <w:t>历史会议决定</w:t>
      </w:r>
    </w:p>
    <w:p>
      <w:r>
        <w:t>按不良风险AML诱导，同步完成供者搜索，获得缓解后进入移植。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