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LEU-029 | AML伴骨髓增生异常相关基因突变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SYN-LEU-029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70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AML伴骨髓增生异常相关基因突变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初诊、继发性</w:t>
            </w:r>
          </w:p>
        </w:tc>
      </w:tr>
    </w:tbl>
    <w:p>
      <w:pPr>
        <w:pStyle w:val="Heading1"/>
      </w:pPr>
      <w:r>
        <w:t>预后与分子因素</w:t>
      </w:r>
    </w:p>
    <w:p>
      <w:r>
        <w:t>SRSF2、BCOR和STAG2突变</w:t>
      </w:r>
    </w:p>
    <w:p>
      <w:pPr>
        <w:pStyle w:val="Heading1"/>
      </w:pPr>
      <w:r>
        <w:t>既往治疗</w:t>
      </w:r>
    </w:p>
    <w:p>
      <w:r>
        <w:t>既往未明确诊断的长期大细胞性贫血</w:t>
      </w:r>
    </w:p>
    <w:p>
      <w:pPr>
        <w:pStyle w:val="Heading1"/>
      </w:pPr>
      <w:r>
        <w:t>临床经过</w:t>
      </w:r>
    </w:p>
    <w:p>
      <w:r>
        <w:t>骨髓原始细胞27%，合并心功能不全。</w:t>
      </w:r>
    </w:p>
    <w:p>
      <w:pPr>
        <w:pStyle w:val="Heading1"/>
      </w:pPr>
      <w:r>
        <w:t>肿瘤委员会问题</w:t>
      </w:r>
    </w:p>
    <w:p>
      <w:r>
        <w:t>低强度联合方案是否更合适？</w:t>
      </w:r>
    </w:p>
    <w:p>
      <w:pPr>
        <w:pStyle w:val="Heading1"/>
      </w:pPr>
      <w:r>
        <w:t>历史会议决定</w:t>
      </w:r>
    </w:p>
    <w:p>
      <w:r>
        <w:t>综合体能和心功能选择去甲基化药联合BCL2抑制剂，动态评估耐受性。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