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LEU-031 | NPM1突变AML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SYN-LEU-031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57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NPM1突变AML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化疗后分子复发</w:t>
            </w:r>
          </w:p>
        </w:tc>
      </w:tr>
    </w:tbl>
    <w:p>
      <w:pPr>
        <w:pStyle w:val="Heading1"/>
      </w:pPr>
      <w:r>
        <w:t>预后与分子因素</w:t>
      </w:r>
    </w:p>
    <w:p>
      <w:r>
        <w:t>NPM1 MRD连续两次上升，形态学缓解</w:t>
      </w:r>
    </w:p>
    <w:p>
      <w:pPr>
        <w:pStyle w:val="Heading1"/>
      </w:pPr>
      <w:r>
        <w:t>既往治疗</w:t>
      </w:r>
    </w:p>
    <w:p>
      <w:r>
        <w:t>7+3；3个疗程HiDAC</w:t>
      </w:r>
    </w:p>
    <w:p>
      <w:pPr>
        <w:pStyle w:val="Heading1"/>
      </w:pPr>
      <w:r>
        <w:t>临床经过</w:t>
      </w:r>
    </w:p>
    <w:p>
      <w:r>
        <w:t>血象正常，NPM1/ABL1比值3个月内上升近10倍。</w:t>
      </w:r>
    </w:p>
    <w:p>
      <w:pPr>
        <w:pStyle w:val="Heading1"/>
      </w:pPr>
      <w:r>
        <w:t>肿瘤委员会问题</w:t>
      </w:r>
    </w:p>
    <w:p>
      <w:r>
        <w:t>是否在形态学复发前启动治疗？</w:t>
      </w:r>
    </w:p>
    <w:p>
      <w:pPr>
        <w:pStyle w:val="Heading1"/>
      </w:pPr>
      <w:r>
        <w:t>历史会议决定</w:t>
      </w:r>
    </w:p>
    <w:p>
      <w:r>
        <w:t>复核分子复发后早期干预，同步进行移植评估，避免等待形态学进展。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