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LEU-032 | IDH2突变AML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IDH2突变AML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低强度治疗后进展</w:t>
            </w:r>
          </w:p>
        </w:tc>
      </w:tr>
    </w:tbl>
    <w:p>
      <w:pPr>
        <w:pStyle w:val="Heading1"/>
      </w:pPr>
      <w:r>
        <w:t>预后与分子因素</w:t>
      </w:r>
    </w:p>
    <w:p>
      <w:r>
        <w:t>IDH2 R140Q，RUNX1突变</w:t>
      </w:r>
    </w:p>
    <w:p>
      <w:pPr>
        <w:pStyle w:val="Heading1"/>
      </w:pPr>
      <w:r>
        <w:t>既往治疗</w:t>
      </w:r>
    </w:p>
    <w:p>
      <w:r>
        <w:t>azacitidine联合venetoclax 9个疗程</w:t>
      </w:r>
    </w:p>
    <w:p>
      <w:pPr>
        <w:pStyle w:val="Heading1"/>
      </w:pPr>
      <w:r>
        <w:t>临床经过</w:t>
      </w:r>
    </w:p>
    <w:p>
      <w:r>
        <w:t>骨髓原始细胞回升至18%，伴持续粒细胞减少。</w:t>
      </w:r>
    </w:p>
    <w:p>
      <w:pPr>
        <w:pStyle w:val="Heading1"/>
      </w:pPr>
      <w:r>
        <w:t>肿瘤委员会问题</w:t>
      </w:r>
    </w:p>
    <w:p>
      <w:r>
        <w:t>是否转入IDH2靶向治疗？</w:t>
      </w:r>
    </w:p>
    <w:p>
      <w:pPr>
        <w:pStyle w:val="Heading1"/>
      </w:pPr>
      <w:r>
        <w:t>历史会议决定</w:t>
      </w:r>
    </w:p>
    <w:p>
      <w:r>
        <w:t>考虑IDH2靶向挽救，同时处理感染风险并评估临床试验。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