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LEU-033 | FLT3-TKD阳性AML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SYN-LEU-033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60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FLT3-TKD阳性AML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FLT3抑制剂后难治</w:t>
            </w:r>
          </w:p>
        </w:tc>
      </w:tr>
    </w:tbl>
    <w:p>
      <w:pPr>
        <w:pStyle w:val="Heading1"/>
      </w:pPr>
      <w:r>
        <w:t>预后与分子因素</w:t>
      </w:r>
    </w:p>
    <w:p>
      <w:r>
        <w:t>FLT3 D835，WT1突变</w:t>
      </w:r>
    </w:p>
    <w:p>
      <w:pPr>
        <w:pStyle w:val="Heading1"/>
      </w:pPr>
      <w:r>
        <w:t>既往治疗</w:t>
      </w:r>
    </w:p>
    <w:p>
      <w:r>
        <w:t>强化化疗；gilteritinib</w:t>
      </w:r>
    </w:p>
    <w:p>
      <w:pPr>
        <w:pStyle w:val="Heading1"/>
      </w:pPr>
      <w:r>
        <w:t>临床经过</w:t>
      </w:r>
    </w:p>
    <w:p>
      <w:r>
        <w:t>靶向治疗6个月后原始细胞再度增多。</w:t>
      </w:r>
    </w:p>
    <w:p>
      <w:pPr>
        <w:pStyle w:val="Heading1"/>
      </w:pPr>
      <w:r>
        <w:t>肿瘤委员会问题</w:t>
      </w:r>
    </w:p>
    <w:p>
      <w:r>
        <w:t>如何处理FLT3通路耐药？</w:t>
      </w:r>
    </w:p>
    <w:p>
      <w:pPr>
        <w:pStyle w:val="Heading1"/>
      </w:pPr>
      <w:r>
        <w:t>历史会议决定</w:t>
      </w:r>
    </w:p>
    <w:p>
      <w:r>
        <w:t>复查克隆演化并优先临床试验或非交叉联合挽救，缓解后评估移植。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