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LEU-035 | 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姊娠中期初诊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CEBPA bZIP区单突变，FLT3阴性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姊娘22周，骨髓原始细胞52%，无严重器官功能障碍。</w:t>
      </w:r>
    </w:p>
    <w:p>
      <w:pPr>
        <w:pStyle w:val="Heading1"/>
      </w:pPr>
      <w:r>
        <w:t>肿瘤委员会问题</w:t>
      </w:r>
    </w:p>
    <w:p>
      <w:r>
        <w:t>如何平衡诱导时机与胎儿风险？</w:t>
      </w:r>
    </w:p>
    <w:p>
      <w:pPr>
        <w:pStyle w:val="Heading1"/>
      </w:pPr>
      <w:r>
        <w:t>历史会议决定</w:t>
      </w:r>
    </w:p>
    <w:p>
      <w:r>
        <w:t>由血液、产科和新生儿多学科决策，在妊娠中期尽快启动必要的AML治疗。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