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LEU-036 | 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初诊合并侵袭性真菌感染</w:t>
            </w:r>
          </w:p>
        </w:tc>
      </w:tr>
    </w:tbl>
    <w:p>
      <w:pPr>
        <w:pStyle w:val="Heading1"/>
      </w:pPr>
      <w:r>
        <w:t>预后与分子因素</w:t>
      </w:r>
    </w:p>
    <w:p>
      <w:r>
        <w:t>DNMT3A、TET2突变，中间风险核型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肺部疑似侵袭性曲霉感染，需氧支持。</w:t>
      </w:r>
    </w:p>
    <w:p>
      <w:pPr>
        <w:pStyle w:val="Heading1"/>
      </w:pPr>
      <w:r>
        <w:t>肿瘤委员会问题</w:t>
      </w:r>
    </w:p>
    <w:p>
      <w:r>
        <w:t>应先控制感染还是立即诱导？</w:t>
      </w:r>
    </w:p>
    <w:p>
      <w:pPr>
        <w:pStyle w:val="Heading1"/>
      </w:pPr>
      <w:r>
        <w:t>历史会议决定</w:t>
      </w:r>
    </w:p>
    <w:p>
      <w:r>
        <w:t>先快速稳定感染和器官功能，根据AML进展速度选择短暂延迟或低强度起始。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