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LEU-037 | Ph样B-ALL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SYN-LEU-037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Ph样B-ALL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初诊、诱导后MRD阳性</w:t>
            </w:r>
          </w:p>
        </w:tc>
      </w:tr>
    </w:tbl>
    <w:p>
      <w:pPr>
        <w:pStyle w:val="Heading1"/>
      </w:pPr>
      <w:r>
        <w:t>预后与分子因素</w:t>
      </w:r>
    </w:p>
    <w:p>
      <w:r>
        <w:t>CRLF2重排，JAK2 R683G，MRD 1.2%</w:t>
      </w:r>
    </w:p>
    <w:p>
      <w:pPr>
        <w:pStyle w:val="Heading1"/>
      </w:pPr>
      <w:r>
        <w:t>既往治疗</w:t>
      </w:r>
    </w:p>
    <w:p>
      <w:r>
        <w:t>儿童样ALL诱导</w:t>
      </w:r>
    </w:p>
    <w:p>
      <w:pPr>
        <w:pStyle w:val="Heading1"/>
      </w:pPr>
      <w:r>
        <w:t>临床经过</w:t>
      </w:r>
    </w:p>
    <w:p>
      <w:r>
        <w:t>形态学缓解但MRD下降不足。</w:t>
      </w:r>
    </w:p>
    <w:p>
      <w:pPr>
        <w:pStyle w:val="Heading1"/>
      </w:pPr>
      <w:r>
        <w:t>肿瘤委员会问题</w:t>
      </w:r>
    </w:p>
    <w:p>
      <w:r>
        <w:t>是否整合JAK抑制和免疫治疗？</w:t>
      </w:r>
    </w:p>
    <w:p>
      <w:pPr>
        <w:pStyle w:val="Heading1"/>
      </w:pPr>
      <w:r>
        <w:t>历史会议决定</w:t>
      </w:r>
    </w:p>
    <w:p>
      <w:r>
        <w:t>进行免疫导向的MRD清除并评估研究性JAK通路治疗，同步规划移植。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