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LEU-039 | 复发B-ALL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复发B-ALL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inotuzumab后缓解、待移植</w:t>
            </w:r>
          </w:p>
        </w:tc>
      </w:tr>
    </w:tbl>
    <w:p>
      <w:pPr>
        <w:pStyle w:val="Heading1"/>
      </w:pPr>
      <w:r>
        <w:t>预后与分子因素</w:t>
      </w:r>
    </w:p>
    <w:p>
      <w:r>
        <w:t>CD22阳性，MRD阴性</w:t>
      </w:r>
    </w:p>
    <w:p>
      <w:pPr>
        <w:pStyle w:val="Heading1"/>
      </w:pPr>
      <w:r>
        <w:t>既往治疗</w:t>
      </w:r>
    </w:p>
    <w:p>
      <w:r>
        <w:t>强化化疗；inotuzumab 2个疗程</w:t>
      </w:r>
    </w:p>
    <w:p>
      <w:pPr>
        <w:pStyle w:val="Heading1"/>
      </w:pPr>
      <w:r>
        <w:t>临床经过</w:t>
      </w:r>
    </w:p>
    <w:p>
      <w:r>
        <w:t>既往轻度脂肪肝，胆红素正常，准备异基因移植。</w:t>
      </w:r>
    </w:p>
    <w:p>
      <w:pPr>
        <w:pStyle w:val="Heading1"/>
      </w:pPr>
      <w:r>
        <w:t>肿瘤委员会问题</w:t>
      </w:r>
    </w:p>
    <w:p>
      <w:r>
        <w:t>如何降低肝静脉闭塞病风险？</w:t>
      </w:r>
    </w:p>
    <w:p>
      <w:pPr>
        <w:pStyle w:val="Heading1"/>
      </w:pPr>
      <w:r>
        <w:t>历史会议决定</w:t>
      </w:r>
    </w:p>
    <w:p>
      <w:r>
        <w:t>限制额外肝毒性暴露，优化预处理强度并在移植期严密监测肝静脉闭塞病。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