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LEU-042 | BCR::ABL1阳性混合表型急性白血病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SYN-LEU-042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leukemia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69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男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2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BCR::ABL1阳性混合表型急性白血病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老年初诊</w:t>
            </w:r>
          </w:p>
        </w:tc>
      </w:tr>
    </w:tbl>
    <w:p>
      <w:pPr>
        <w:pStyle w:val="Heading1"/>
      </w:pPr>
      <w:r>
        <w:t>预后与分子因素</w:t>
      </w:r>
    </w:p>
    <w:p>
      <w:r>
        <w:t>B/髓系MPAL，BCR::ABL1 p210</w:t>
      </w:r>
    </w:p>
    <w:p>
      <w:pPr>
        <w:pStyle w:val="Heading1"/>
      </w:pPr>
      <w:r>
        <w:t>既往治疗</w:t>
      </w:r>
    </w:p>
    <w:p>
      <w:r>
        <w:t>无</w:t>
      </w:r>
    </w:p>
    <w:p>
      <w:pPr>
        <w:pStyle w:val="Heading1"/>
      </w:pPr>
      <w:r>
        <w:t>临床经过</w:t>
      </w:r>
    </w:p>
    <w:p>
      <w:r>
        <w:t>合并冠心病和糖尿病，无中枢受累。</w:t>
      </w:r>
    </w:p>
    <w:p>
      <w:pPr>
        <w:pStyle w:val="Heading1"/>
      </w:pPr>
      <w:r>
        <w:t>肿瘤委员会问题</w:t>
      </w:r>
    </w:p>
    <w:p>
      <w:r>
        <w:t>低强度ALL导向治疗如何联合TKI？</w:t>
      </w:r>
    </w:p>
    <w:p>
      <w:pPr>
        <w:pStyle w:val="Heading1"/>
      </w:pPr>
      <w:r>
        <w:t>历史会议决定</w:t>
      </w:r>
    </w:p>
    <w:p>
      <w:r>
        <w:t>采用TKI联合年龄适配的ALL导向治疗，按BCR::ABL1与流式MRD调整方案。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LEU-042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