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LEU-043 | 慢性髓性白血病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SYN-LEU-043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46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慢性髓性白血病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无治疗缓解尝试后分子复发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BCR::ABL1回升至0.18% IS，无耐药突变</w:t>
      </w:r>
    </w:p>
    <w:p>
      <w:pPr>
        <w:pStyle w:val="Heading1"/>
      </w:pPr>
      <w:r>
        <w:t>既往治疗</w:t>
      </w:r>
    </w:p>
    <w:p>
      <w:r>
        <w:t>dasatinib深度分子缓解5年后停药</w:t>
      </w:r>
    </w:p>
    <w:p>
      <w:pPr>
        <w:pStyle w:val="Heading1"/>
      </w:pPr>
      <w:r>
        <w:t>临床经过</w:t>
      </w:r>
    </w:p>
    <w:p>
      <w:r>
        <w:t>停药7个月失去MMR，无症状。</w:t>
      </w:r>
    </w:p>
    <w:p>
      <w:pPr>
        <w:pStyle w:val="Heading1"/>
      </w:pPr>
      <w:r>
        <w:t>肿瘤委员会问题</w:t>
      </w:r>
    </w:p>
    <w:p>
      <w:r>
        <w:t>是否应恢复原TKI？</w:t>
      </w:r>
    </w:p>
    <w:p>
      <w:pPr>
        <w:pStyle w:val="Heading1"/>
      </w:pPr>
      <w:r>
        <w:t>历史会议决定</w:t>
      </w:r>
    </w:p>
    <w:p>
      <w:r>
        <w:t>立即恢复有效TKI并密集监测BCR::ABL1，多数患者可再次获得MMR。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