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LEU-044 | 慢性髓性白血病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淋系急变、多TKI耐药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 T315I，CD19阳性</w:t>
      </w:r>
    </w:p>
    <w:p>
      <w:pPr>
        <w:pStyle w:val="Heading1"/>
      </w:pPr>
      <w:r>
        <w:t>既往治疗</w:t>
      </w:r>
    </w:p>
    <w:p>
      <w:r>
        <w:t>多种TKI；ponatinib</w:t>
      </w:r>
    </w:p>
    <w:p>
      <w:pPr>
        <w:pStyle w:val="Heading1"/>
      </w:pPr>
      <w:r>
        <w:t>临床经过</w:t>
      </w:r>
    </w:p>
    <w:p>
      <w:r>
        <w:t>骨髓淋系原始细胞43%，无合适同胞供者。</w:t>
      </w:r>
    </w:p>
    <w:p>
      <w:pPr>
        <w:pStyle w:val="Heading1"/>
      </w:pPr>
      <w:r>
        <w:t>肿瘤委员会问题</w:t>
      </w:r>
    </w:p>
    <w:p>
      <w:r>
        <w:t>免疫治疗、TKI与移植如何组合？</w:t>
      </w:r>
    </w:p>
    <w:p>
      <w:pPr>
        <w:pStyle w:val="Heading1"/>
      </w:pPr>
      <w:r>
        <w:t>历史会议决定</w:t>
      </w:r>
    </w:p>
    <w:p>
      <w:r>
        <w:t>采用对T315I有活性的TKI联合B系导向挽救，获得第二慢性期后进入移植。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