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LEU-045 | MDS伴原始细胞增多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SYN-LEU-045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62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MDS伴原始细胞增多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高危、移植候选</w:t>
            </w:r>
          </w:p>
        </w:tc>
      </w:tr>
    </w:tbl>
    <w:p>
      <w:pPr>
        <w:pStyle w:val="Heading1"/>
      </w:pPr>
      <w:r>
        <w:t>预后与分子因素</w:t>
      </w:r>
    </w:p>
    <w:p>
      <w:r>
        <w:t>U2AF1、RUNX1和ASXL1突变，原始细胞12%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输血依赖，已找到匹配非血缘供者。</w:t>
      </w:r>
    </w:p>
    <w:p>
      <w:pPr>
        <w:pStyle w:val="Heading1"/>
      </w:pPr>
      <w:r>
        <w:t>肿瘤委员会问题</w:t>
      </w:r>
    </w:p>
    <w:p>
      <w:r>
        <w:t>移植前是否需去甲基化减瘤？</w:t>
      </w:r>
    </w:p>
    <w:p>
      <w:pPr>
        <w:pStyle w:val="Heading1"/>
      </w:pPr>
      <w:r>
        <w:t>历史会议决定</w:t>
      </w:r>
    </w:p>
    <w:p>
      <w:r>
        <w:t>根据等待时间和疾病动力学选择桥接治疗，避免不必要延误移植。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