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LEU-046 | 低危MDS伴del(5q)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SYN-LEU-046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73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低危MDS伴del(5q)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lenalidomide后失应答</w:t>
            </w:r>
          </w:p>
        </w:tc>
      </w:tr>
    </w:tbl>
    <w:p>
      <w:pPr>
        <w:pStyle w:val="Heading1"/>
      </w:pPr>
      <w:r>
        <w:t>预后与分子因素</w:t>
      </w:r>
    </w:p>
    <w:p>
      <w:r>
        <w:t>del(5q)，新出现TP53低负荷克隆</w:t>
      </w:r>
    </w:p>
    <w:p>
      <w:pPr>
        <w:pStyle w:val="Heading1"/>
      </w:pPr>
      <w:r>
        <w:t>既往治疗</w:t>
      </w:r>
    </w:p>
    <w:p>
      <w:r>
        <w:t>lenalidomide 30个月</w:t>
      </w:r>
    </w:p>
    <w:p>
      <w:pPr>
        <w:pStyle w:val="Heading1"/>
      </w:pPr>
      <w:r>
        <w:t>临床经过</w:t>
      </w:r>
    </w:p>
    <w:p>
      <w:r>
        <w:t>再次输血依赖，骨髓原始细胞4%。</w:t>
      </w:r>
    </w:p>
    <w:p>
      <w:pPr>
        <w:pStyle w:val="Heading1"/>
      </w:pPr>
      <w:r>
        <w:t>肿瘤委员会问题</w:t>
      </w:r>
    </w:p>
    <w:p>
      <w:r>
        <w:t>失应答后应如何调整治疗？</w:t>
      </w:r>
    </w:p>
    <w:p>
      <w:pPr>
        <w:pStyle w:val="Heading1"/>
      </w:pPr>
      <w:r>
        <w:t>历史会议决定</w:t>
      </w:r>
    </w:p>
    <w:p>
      <w:r>
        <w:t>复核克隆演化和风险分层，根据症状与进展风险选择ESA、去甲基化或试验。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