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LEU-047 | 慢性髓单核细胞白血病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慢性髓单核细胞白血病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去甲基化后部分缓解、待移植</w:t>
            </w:r>
          </w:p>
        </w:tc>
      </w:tr>
    </w:tbl>
    <w:p>
      <w:pPr>
        <w:pStyle w:val="Heading1"/>
      </w:pPr>
      <w:r>
        <w:t>预后与分子因素</w:t>
      </w:r>
    </w:p>
    <w:p>
      <w:r>
        <w:t>ASXL1、TET2、CBL突变</w:t>
      </w:r>
    </w:p>
    <w:p>
      <w:pPr>
        <w:pStyle w:val="Heading1"/>
      </w:pPr>
      <w:r>
        <w:t>既往治疗</w:t>
      </w:r>
    </w:p>
    <w:p>
      <w:r>
        <w:t>decitabine 6个疗程</w:t>
      </w:r>
    </w:p>
    <w:p>
      <w:pPr>
        <w:pStyle w:val="Heading1"/>
      </w:pPr>
      <w:r>
        <w:t>临床经过</w:t>
      </w:r>
    </w:p>
    <w:p>
      <w:r>
        <w:t>白细胞和脾大改善，仍有输血需求。</w:t>
      </w:r>
    </w:p>
    <w:p>
      <w:pPr>
        <w:pStyle w:val="Heading1"/>
      </w:pPr>
      <w:r>
        <w:t>肿瘤委员会问题</w:t>
      </w:r>
    </w:p>
    <w:p>
      <w:r>
        <w:t>部分缓解是否足以进入移植？</w:t>
      </w:r>
    </w:p>
    <w:p>
      <w:pPr>
        <w:pStyle w:val="Heading1"/>
      </w:pPr>
      <w:r>
        <w:t>历史会议决定</w:t>
      </w:r>
    </w:p>
    <w:p>
      <w:r>
        <w:t>若疾病负荷稳定且体能允许，不必追求完全缓解而延误移植。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