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LEU-048 | MDS/MPN伴中性粒细胞增多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MDS/MPN伴中性粒细胞增多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进展性、青年</w:t>
            </w:r>
          </w:p>
        </w:tc>
      </w:tr>
    </w:tbl>
    <w:p>
      <w:pPr>
        <w:pStyle w:val="Heading1"/>
      </w:pPr>
      <w:r>
        <w:t>预后与分子因素</w:t>
      </w:r>
    </w:p>
    <w:p>
      <w:r>
        <w:t>SETBP1、ETNK1和ASXL1突变，BCR::ABL1阴性</w:t>
      </w:r>
    </w:p>
    <w:p>
      <w:pPr>
        <w:pStyle w:val="Heading1"/>
      </w:pPr>
      <w:r>
        <w:t>既往治疗</w:t>
      </w:r>
    </w:p>
    <w:p>
      <w:r>
        <w:t>hydroxyurea</w:t>
      </w:r>
    </w:p>
    <w:p>
      <w:pPr>
        <w:pStyle w:val="Heading1"/>
      </w:pPr>
      <w:r>
        <w:t>临床经过</w:t>
      </w:r>
    </w:p>
    <w:p>
      <w:r>
        <w:t>白细胞进行性增高并伴脾大，原始细胞8%。</w:t>
      </w:r>
    </w:p>
    <w:p>
      <w:pPr>
        <w:pStyle w:val="Heading1"/>
      </w:pPr>
      <w:r>
        <w:t>肿瘤委员会问题</w:t>
      </w:r>
    </w:p>
    <w:p>
      <w:r>
        <w:t>是否应进入异基因移植？</w:t>
      </w:r>
    </w:p>
    <w:p>
      <w:pPr>
        <w:pStyle w:val="Heading1"/>
      </w:pPr>
      <w:r>
        <w:t>历史会议决定</w:t>
      </w:r>
    </w:p>
    <w:p>
      <w:r>
        <w:t>在专家病理复核后进行疾病控制，鉴于年轻和进展性尽早评估移植。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