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LEU-049 | BCR::ABL1阴性骨髓增殖性肿瘤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SYN-LEU-049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BCR::ABL1阴性骨髓增殖性肿瘤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转化为AML</w:t>
            </w:r>
          </w:p>
        </w:tc>
      </w:tr>
    </w:tbl>
    <w:p>
      <w:pPr>
        <w:pStyle w:val="Heading1"/>
      </w:pPr>
      <w:r>
        <w:t>预后与分子因素</w:t>
      </w:r>
    </w:p>
    <w:p>
      <w:r>
        <w:t>JAK2 V617F，TP53和NRAS突变</w:t>
      </w:r>
    </w:p>
    <w:p>
      <w:pPr>
        <w:pStyle w:val="Heading1"/>
      </w:pPr>
      <w:r>
        <w:t>既往治疗</w:t>
      </w:r>
    </w:p>
    <w:p>
      <w:r>
        <w:t>ruxolitinib治疗骨髓纤维化3年</w:t>
      </w:r>
    </w:p>
    <w:p>
      <w:pPr>
        <w:pStyle w:val="Heading1"/>
      </w:pPr>
      <w:r>
        <w:t>临床经过</w:t>
      </w:r>
    </w:p>
    <w:p>
      <w:r>
        <w:t>骨髓原始细胞32%，脾大明显，血小板减少。</w:t>
      </w:r>
    </w:p>
    <w:p>
      <w:pPr>
        <w:pStyle w:val="Heading1"/>
      </w:pPr>
      <w:r>
        <w:t>肿瘤委员会问题</w:t>
      </w:r>
    </w:p>
    <w:p>
      <w:r>
        <w:t>转化后如何争取移植机会？</w:t>
      </w:r>
    </w:p>
    <w:p>
      <w:pPr>
        <w:pStyle w:val="Heading1"/>
      </w:pPr>
      <w:r>
        <w:t>历史会议决定</w:t>
      </w:r>
    </w:p>
    <w:p>
      <w:r>
        <w:t>采用适合体能的AML挽救降低疾病负荷，缓解后尽快进行移植。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