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LEU-050 | 母细胞性浆细胞样树突细胞肿瘤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SYN-LEU-050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母细胞性浆细胞样树突细胞肿瘤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初诊、皮肤与骨髓受累</w:t>
            </w:r>
          </w:p>
        </w:tc>
      </w:tr>
    </w:tbl>
    <w:p>
      <w:pPr>
        <w:pStyle w:val="Heading1"/>
      </w:pPr>
      <w:r>
        <w:t>预后与分子因素</w:t>
      </w:r>
    </w:p>
    <w:p>
      <w:r>
        <w:t>CD123强阳性，TCF4阳性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多发紫红色皮损，骨髓受累28%，脑脊液阴性。</w:t>
      </w:r>
    </w:p>
    <w:p>
      <w:pPr>
        <w:pStyle w:val="Heading1"/>
      </w:pPr>
      <w:r>
        <w:t>肿瘤委员会问题</w:t>
      </w:r>
    </w:p>
    <w:p>
      <w:r>
        <w:t>CD123导向治疗后是否移植？</w:t>
      </w:r>
    </w:p>
    <w:p>
      <w:pPr>
        <w:pStyle w:val="Heading1"/>
      </w:pPr>
      <w:r>
        <w:t>历史会议决定</w:t>
      </w:r>
    </w:p>
    <w:p>
      <w:r>
        <w:t>采用CD123导向诱导并纳入中枢评估和预防，首次缓解期评估移植。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