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LEU-051 | 慢性淋巴细胞白血病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SYN-LEU-051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68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慢性淋巴细胞白血病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BTK和BCL2抑制剂后进展</w:t>
            </w:r>
          </w:p>
        </w:tc>
      </w:tr>
    </w:tbl>
    <w:p>
      <w:pPr>
        <w:pStyle w:val="Heading1"/>
      </w:pPr>
      <w:r>
        <w:t>预后与分子因素</w:t>
      </w:r>
    </w:p>
    <w:p>
      <w:r>
        <w:t>del(17p)，TP53突变，BTK C481S</w:t>
      </w:r>
    </w:p>
    <w:p>
      <w:pPr>
        <w:pStyle w:val="Heading1"/>
      </w:pPr>
      <w:r>
        <w:t>既往治疗</w:t>
      </w:r>
    </w:p>
    <w:p>
      <w:r>
        <w:t>ibrutinib；venetoclax联合抗CD20抗体</w:t>
      </w:r>
    </w:p>
    <w:p>
      <w:pPr>
        <w:pStyle w:val="Heading1"/>
      </w:pPr>
      <w:r>
        <w:t>临床经过</w:t>
      </w:r>
    </w:p>
    <w:p>
      <w:r>
        <w:t>淋巴结和淋巴细胞逐渐增多，PET无明显转化特征。</w:t>
      </w:r>
    </w:p>
    <w:p>
      <w:pPr>
        <w:pStyle w:val="Heading1"/>
      </w:pPr>
      <w:r>
        <w:t>肿瘤委员会问题</w:t>
      </w:r>
    </w:p>
    <w:p>
      <w:r>
        <w:t>双通路耐药后如何选择后续治疗？</w:t>
      </w:r>
    </w:p>
    <w:p>
      <w:pPr>
        <w:pStyle w:val="Heading1"/>
      </w:pPr>
      <w:r>
        <w:t>历史会议决定</w:t>
      </w:r>
    </w:p>
    <w:p>
      <w:r>
        <w:t>重新排除Richter转化，优先非共价BTK抑制剂、细胞治疗或临床试验。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