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LYM-003 | 高级别B细胞淋巴瘤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SYN-LYM-003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49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高级别B细胞淋巴瘤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初诊、双打击</w:t>
            </w:r>
          </w:p>
        </w:tc>
      </w:tr>
    </w:tbl>
    <w:p>
      <w:pPr>
        <w:pStyle w:val="Heading1"/>
      </w:pPr>
      <w:r>
        <w:t>预后与分子因素</w:t>
      </w:r>
    </w:p>
    <w:p>
      <w:r>
        <w:t>MYC和BCL2重排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腹膜后大包块和高LDH，CNS-IPI高危。</w:t>
      </w:r>
    </w:p>
    <w:p>
      <w:pPr>
        <w:pStyle w:val="Heading1"/>
      </w:pPr>
      <w:r>
        <w:t>肿瘤委员会问题</w:t>
      </w:r>
    </w:p>
    <w:p>
      <w:r>
        <w:t>是否采用强化一线并进行CNS预防？</w:t>
      </w:r>
    </w:p>
    <w:p>
      <w:pPr>
        <w:pStyle w:val="Heading1"/>
      </w:pPr>
      <w:r>
        <w:t>历史会议决定</w:t>
      </w:r>
    </w:p>
    <w:p>
      <w:r>
        <w:t>采用强化免疫化疗，结合中枢风险安排预防并密切监测疗效。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