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LYM-007 | 原发纵隔大B细胞淋巴瘤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SYN-LYM-007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35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原发纵隔大B细胞淋巴瘤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一线难治</w:t>
            </w:r>
          </w:p>
        </w:tc>
      </w:tr>
    </w:tbl>
    <w:p>
      <w:pPr>
        <w:pStyle w:val="Heading1"/>
      </w:pPr>
      <w:r>
        <w:t>预后与分子因素</w:t>
      </w:r>
    </w:p>
    <w:p>
      <w:r>
        <w:t>CD30阳性，PD-L1高表达</w:t>
      </w:r>
    </w:p>
    <w:p>
      <w:pPr>
        <w:pStyle w:val="Heading1"/>
      </w:pPr>
      <w:r>
        <w:t>既往治疗</w:t>
      </w:r>
    </w:p>
    <w:p>
      <w:r>
        <w:t>DA-EPOCH-R 6个疗程；局部放疗</w:t>
      </w:r>
    </w:p>
    <w:p>
      <w:pPr>
        <w:pStyle w:val="Heading1"/>
      </w:pPr>
      <w:r>
        <w:t>临床经过</w:t>
      </w:r>
    </w:p>
    <w:p>
      <w:r>
        <w:t>纵隔病灶持续PET强阳性，活检证实活性肿瘤。</w:t>
      </w:r>
    </w:p>
    <w:p>
      <w:pPr>
        <w:pStyle w:val="Heading1"/>
      </w:pPr>
      <w:r>
        <w:t>肿瘤委员会问题</w:t>
      </w:r>
    </w:p>
    <w:p>
      <w:r>
        <w:t>CAR-T、PD-1抑制剂和移植如何排序？</w:t>
      </w:r>
    </w:p>
    <w:p>
      <w:pPr>
        <w:pStyle w:val="Heading1"/>
      </w:pPr>
      <w:r>
        <w:t>历史会议决定</w:t>
      </w:r>
    </w:p>
    <w:p>
      <w:r>
        <w:t>评估CD19 CAR-T或临床试验，需桥接时结合PD-1通路特征选择方案。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