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LYM-016 | 经典型霍奇金淋巴瘤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SYN-LYM-016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44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经典型霍奇金淋巴瘤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晚期初诊</w:t>
            </w:r>
          </w:p>
        </w:tc>
      </w:tr>
    </w:tbl>
    <w:p>
      <w:pPr>
        <w:pStyle w:val="Heading1"/>
      </w:pPr>
      <w:r>
        <w:t>预后与分子因素</w:t>
      </w:r>
    </w:p>
    <w:p>
      <w:r>
        <w:t>CD30阳性，IPS 4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IVB期，骨髓及肺受累，有明显B症状。</w:t>
      </w:r>
    </w:p>
    <w:p>
      <w:pPr>
        <w:pStyle w:val="Heading1"/>
      </w:pPr>
      <w:r>
        <w:t>肿瘤委员会问题</w:t>
      </w:r>
    </w:p>
    <w:p>
      <w:r>
        <w:t>一线应选择BrECADD还是其他方案？</w:t>
      </w:r>
    </w:p>
    <w:p>
      <w:pPr>
        <w:pStyle w:val="Heading1"/>
      </w:pPr>
      <w:r>
        <w:t>历史会议决定</w:t>
      </w:r>
    </w:p>
    <w:p>
      <w:r>
        <w:t>采用PET适应性的现代强化一线方案，根据年龄和器官功能平衡治愈率与毒性。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