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LYM-019 | 脾边缘区淋巴瘤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SYN-LYM-019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脾边缘区淋巴瘤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症状性、细胞减少</w:t>
            </w:r>
          </w:p>
        </w:tc>
      </w:tr>
    </w:tbl>
    <w:p>
      <w:pPr>
        <w:pStyle w:val="Heading1"/>
      </w:pPr>
      <w:r>
        <w:t>预后与分子因素</w:t>
      </w:r>
    </w:p>
    <w:p>
      <w:r>
        <w:t>NOTCH2突变，IGH克隆性</w:t>
      </w:r>
    </w:p>
    <w:p>
      <w:pPr>
        <w:pStyle w:val="Heading1"/>
      </w:pPr>
      <w:r>
        <w:t>既往治疗</w:t>
      </w:r>
    </w:p>
    <w:p>
      <w:r>
        <w:t>观察3年</w:t>
      </w:r>
    </w:p>
    <w:p>
      <w:pPr>
        <w:pStyle w:val="Heading1"/>
      </w:pPr>
      <w:r>
        <w:t>临床经过</w:t>
      </w:r>
    </w:p>
    <w:p>
      <w:r>
        <w:t>脾大进展，贫血和血小板减少，无转化证据。</w:t>
      </w:r>
    </w:p>
    <w:p>
      <w:pPr>
        <w:pStyle w:val="Heading1"/>
      </w:pPr>
      <w:r>
        <w:t>肿瘤委员会问题</w:t>
      </w:r>
    </w:p>
    <w:p>
      <w:r>
        <w:t>何时启动抗CD20为基础的治疗？</w:t>
      </w:r>
    </w:p>
    <w:p>
      <w:pPr>
        <w:pStyle w:val="Heading1"/>
      </w:pPr>
      <w:r>
        <w:t>历史会议决定</w:t>
      </w:r>
    </w:p>
    <w:p>
      <w:r>
        <w:t>症状性脾大及细胞减少已构成治疗指征，采用抗CD20为基础的个体化方案。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