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LYM-020 | 外周T细胞淋巴瘤，NOS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SYN-LYM-020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55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外周T细胞淋巴瘤，NOS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初诊、高危</w:t>
            </w:r>
          </w:p>
        </w:tc>
      </w:tr>
    </w:tbl>
    <w:p>
      <w:pPr>
        <w:pStyle w:val="Heading1"/>
      </w:pPr>
      <w:r>
        <w:t>预后与分子因素</w:t>
      </w:r>
    </w:p>
    <w:p>
      <w:r>
        <w:t>TCR克隆性，CD30阴性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IV期伴骨髓受累和B症状，PIT高危。</w:t>
      </w:r>
    </w:p>
    <w:p>
      <w:pPr>
        <w:pStyle w:val="Heading1"/>
      </w:pPr>
      <w:r>
        <w:t>肿瘤委员会问题</w:t>
      </w:r>
    </w:p>
    <w:p>
      <w:r>
        <w:t>是否应在首次缓解时自体移植？</w:t>
      </w:r>
    </w:p>
    <w:p>
      <w:pPr>
        <w:pStyle w:val="Heading1"/>
      </w:pPr>
      <w:r>
        <w:t>历史会议决定</w:t>
      </w:r>
    </w:p>
    <w:p>
      <w:r>
        <w:t>采用T细胞淋巴瘤导向诱导，达缓解后结合风险和疗效评估自体移植。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