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LYM-026 | 原发睪丸弥漫性大B细胞淋巴瘤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原发睪丸弥漫性大B细胞淋巴瘤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初诊、局限期</w:t>
            </w:r>
          </w:p>
        </w:tc>
      </w:tr>
    </w:tbl>
    <w:p>
      <w:pPr>
        <w:pStyle w:val="Heading1"/>
      </w:pPr>
      <w:r>
        <w:t>预后与分子因素</w:t>
      </w:r>
    </w:p>
    <w:p>
      <w:r>
        <w:t>MYD88 L265P，CD20阳性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单侧睪丸肿大，未发现中枢或对侧睪丸受累。</w:t>
      </w:r>
    </w:p>
    <w:p>
      <w:pPr>
        <w:pStyle w:val="Heading1"/>
      </w:pPr>
      <w:r>
        <w:t>肿瘤委员会问题</w:t>
      </w:r>
    </w:p>
    <w:p>
      <w:r>
        <w:t>如何安排全身治疗、中枢预防和对侧放疗？</w:t>
      </w:r>
    </w:p>
    <w:p>
      <w:pPr>
        <w:pStyle w:val="Heading1"/>
      </w:pPr>
      <w:r>
        <w:t>历史会议决定</w:t>
      </w:r>
    </w:p>
    <w:p>
      <w:r>
        <w:t>采用抗CD20免疫化疗，整合中枢预防及对侧睪丸放疗。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