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LYM-027 | 血管内大B细胞淋巴瘤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血管内大B细胞淋巴瘤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初诊、多器官受累</w:t>
            </w:r>
          </w:p>
        </w:tc>
      </w:tr>
    </w:tbl>
    <w:p>
      <w:pPr>
        <w:pStyle w:val="Heading1"/>
      </w:pPr>
      <w:r>
        <w:t>预后与分子因素</w:t>
      </w:r>
    </w:p>
    <w:p>
      <w:r>
        <w:t>CD20阳性，MYD88 L265P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发热、低氧、高LDH和血细胞减少，皮肤随机活检确诊。</w:t>
      </w:r>
    </w:p>
    <w:p>
      <w:pPr>
        <w:pStyle w:val="Heading1"/>
      </w:pPr>
      <w:r>
        <w:t>肿瘤委员会问题</w:t>
      </w:r>
    </w:p>
    <w:p>
      <w:r>
        <w:t>危重状态下如何启动治疗？</w:t>
      </w:r>
    </w:p>
    <w:p>
      <w:pPr>
        <w:pStyle w:val="Heading1"/>
      </w:pPr>
      <w:r>
        <w:t>历史会议决定</w:t>
      </w:r>
    </w:p>
    <w:p>
      <w:r>
        <w:t>快速完成必要分期后启动减量预阶段及抗CD20免疫化疗，严密支持多器官功能。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