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LYM-030 | 滤泡性淋巴瘤转化为DLBCL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滤泡性淋巴瘤转化为DLBCL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首次组织学转化</w:t>
            </w:r>
          </w:p>
        </w:tc>
      </w:tr>
    </w:tbl>
    <w:p>
      <w:pPr>
        <w:pStyle w:val="Heading1"/>
      </w:pPr>
      <w:r>
        <w:t>预后与分子因素</w:t>
      </w:r>
    </w:p>
    <w:p>
      <w:r>
        <w:t>MYC野生型，BCL2重排，CD20阳性</w:t>
      </w:r>
    </w:p>
    <w:p>
      <w:pPr>
        <w:pStyle w:val="Heading1"/>
      </w:pPr>
      <w:r>
        <w:t>既往治疗</w:t>
      </w:r>
    </w:p>
    <w:p>
      <w:r>
        <w:t>观察等待4年；局部放疗</w:t>
      </w:r>
    </w:p>
    <w:p>
      <w:pPr>
        <w:pStyle w:val="Heading1"/>
      </w:pPr>
      <w:r>
        <w:t>临床经过</w:t>
      </w:r>
    </w:p>
    <w:p>
      <w:r>
        <w:t>出现快速增大的腹膜后包块和B症状，活检确认转化。</w:t>
      </w:r>
    </w:p>
    <w:p>
      <w:pPr>
        <w:pStyle w:val="Heading1"/>
      </w:pPr>
      <w:r>
        <w:t>肿瘤委员会问题</w:t>
      </w:r>
    </w:p>
    <w:p>
      <w:r>
        <w:t>应按初治DLBCL还是复发滤泡性淋巴瘤治疗？</w:t>
      </w:r>
    </w:p>
    <w:p>
      <w:pPr>
        <w:pStyle w:val="Heading1"/>
      </w:pPr>
      <w:r>
        <w:t>历史会议决定</w:t>
      </w:r>
    </w:p>
    <w:p>
      <w:r>
        <w:t>按转化性大B细胞淋巴瘤采用治愈意图的免疫化疗，根据疗效评估巩固。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